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C5179" w14:textId="7951D5CF" w:rsidR="001F610A" w:rsidRPr="008A6D61" w:rsidRDefault="00F8601A" w:rsidP="00755A1F">
      <w:pPr>
        <w:sectPr w:rsidR="001F610A" w:rsidRPr="008A6D61" w:rsidSect="001F610A">
          <w:headerReference w:type="default" r:id="rId11"/>
          <w:footerReference w:type="even" r:id="rId12"/>
          <w:footerReference w:type="default" r:id="rId13"/>
          <w:footerReference w:type="first" r:id="rId14"/>
          <w:pgSz w:w="12240" w:h="15840"/>
          <w:pgMar w:top="360" w:right="360" w:bottom="360" w:left="360" w:header="864" w:footer="288" w:gutter="0"/>
          <w:cols w:space="166"/>
          <w:titlePg/>
          <w:docGrid w:linePitch="360"/>
        </w:sectPr>
      </w:pPr>
      <w:bookmarkStart w:id="0" w:name="_Hlk59433675"/>
      <w:r>
        <w:rPr>
          <w:rFonts w:asciiTheme="minorHAnsi" w:hAnsiTheme="minorHAnsi"/>
          <w:noProof/>
          <w:color w:val="auto"/>
          <w:sz w:val="16"/>
          <w:szCs w:val="16"/>
        </w:rPr>
        <w:drawing>
          <wp:inline distT="0" distB="0" distL="0" distR="0" wp14:anchorId="538462BB" wp14:editId="1E91E071">
            <wp:extent cx="7315200" cy="9465945"/>
            <wp:effectExtent l="0" t="0" r="0" b="1905"/>
            <wp:docPr id="10" name="Picture 10"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website&#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315200" cy="9465945"/>
                    </a:xfrm>
                    <a:prstGeom prst="rect">
                      <a:avLst/>
                    </a:prstGeom>
                  </pic:spPr>
                </pic:pic>
              </a:graphicData>
            </a:graphic>
          </wp:inline>
        </w:drawing>
      </w:r>
    </w:p>
    <w:p w14:paraId="6D2FD4CA" w14:textId="77777777" w:rsidR="001F610A" w:rsidRPr="008A6D61" w:rsidRDefault="001F610A" w:rsidP="001F610A">
      <w:pPr>
        <w:spacing w:line="280" w:lineRule="atLeast"/>
        <w:ind w:right="3312"/>
        <w:rPr>
          <w:rFonts w:ascii="Calibri" w:eastAsia="Calibri" w:hAnsi="Calibri" w:cs="Calibri"/>
          <w:color w:val="000000"/>
          <w:sz w:val="21"/>
          <w:szCs w:val="21"/>
        </w:rPr>
      </w:pPr>
      <w:r w:rsidRPr="008A6D61">
        <w:rPr>
          <w:rFonts w:ascii="Calibri" w:eastAsia="Calibri" w:hAnsi="Calibri" w:cs="Calibri"/>
          <w:color w:val="000000"/>
          <w:sz w:val="21"/>
          <w:szCs w:val="21"/>
        </w:rPr>
        <w:lastRenderedPageBreak/>
        <w:t>The IDEA</w:t>
      </w:r>
      <w:r w:rsidRPr="008A6D61">
        <w:rPr>
          <w:rFonts w:ascii="Calibri" w:eastAsia="Calibri" w:hAnsi="Calibri" w:cs="Calibri"/>
          <w:i/>
          <w:color w:val="000000"/>
          <w:sz w:val="21"/>
          <w:szCs w:val="21"/>
        </w:rPr>
        <w:t xml:space="preserve"> </w:t>
      </w:r>
      <w:r w:rsidRPr="008A6D61">
        <w:rPr>
          <w:rFonts w:ascii="Calibri" w:eastAsia="Calibri" w:hAnsi="Calibri" w:cs="Calibri"/>
          <w:color w:val="000000"/>
          <w:sz w:val="21"/>
          <w:szCs w:val="21"/>
        </w:rPr>
        <w:t>Data Center (IDC) created this publication under U.S. Department of Education, Office of Special Education Programs grant number H373Y190001. Richelle Davis and Rebecca Smith serve as the project officers.</w:t>
      </w:r>
    </w:p>
    <w:p w14:paraId="5F0345FD" w14:textId="77777777" w:rsidR="001F610A" w:rsidRPr="008A6D61" w:rsidRDefault="001F610A" w:rsidP="001F610A">
      <w:pPr>
        <w:spacing w:line="280" w:lineRule="atLeast"/>
        <w:ind w:right="3312"/>
        <w:rPr>
          <w:rFonts w:ascii="Calibri" w:eastAsia="Calibri" w:hAnsi="Calibri" w:cs="Calibri"/>
          <w:color w:val="000000"/>
          <w:sz w:val="21"/>
          <w:szCs w:val="21"/>
        </w:rPr>
      </w:pPr>
      <w:r w:rsidRPr="008A6D61">
        <w:rPr>
          <w:rFonts w:ascii="Calibri" w:eastAsia="Calibri" w:hAnsi="Calibri" w:cs="Calibri"/>
          <w:color w:val="000000"/>
          <w:sz w:val="21"/>
          <w:szCs w:val="21"/>
        </w:rPr>
        <w:t>The views expressed herein do not necessarily represent the positions or policies of the U.S. Department of Education. No official endorsement by the U.S. Department of Education of any product, commodity, service, or enterprise mentioned in this publication is intended or should be inferred. This product is in the public domain. Authorization to reproduce it in whole or in part is granted.</w:t>
      </w:r>
    </w:p>
    <w:p w14:paraId="1BA0D773" w14:textId="77777777" w:rsidR="001F610A" w:rsidRPr="008A6D61" w:rsidRDefault="001F610A" w:rsidP="001F610A">
      <w:pPr>
        <w:spacing w:line="280" w:lineRule="atLeast"/>
        <w:ind w:right="3312"/>
        <w:rPr>
          <w:rFonts w:ascii="Calibri" w:eastAsia="Calibri" w:hAnsi="Calibri" w:cs="Calibri"/>
          <w:color w:val="414141"/>
          <w:sz w:val="21"/>
          <w:szCs w:val="21"/>
        </w:rPr>
      </w:pPr>
      <w:r w:rsidRPr="008A6D61">
        <w:rPr>
          <w:rFonts w:ascii="Calibri" w:eastAsia="Calibri" w:hAnsi="Calibri" w:cs="Calibri"/>
          <w:color w:val="000000"/>
          <w:sz w:val="21"/>
          <w:szCs w:val="21"/>
        </w:rPr>
        <w:t>Westat is the lead organization for IDC. For more information about the center’s work and its partners</w:t>
      </w:r>
      <w:hyperlink r:id="rId16">
        <w:r w:rsidRPr="008A6D61">
          <w:rPr>
            <w:rFonts w:ascii="Calibri" w:eastAsia="Calibri" w:hAnsi="Calibri" w:cs="Calibri"/>
            <w:color w:val="000000"/>
            <w:sz w:val="21"/>
            <w:szCs w:val="21"/>
          </w:rPr>
          <w:t>,</w:t>
        </w:r>
        <w:r w:rsidRPr="008A6D61">
          <w:rPr>
            <w:rFonts w:ascii="Calibri" w:eastAsia="Calibri" w:hAnsi="Calibri" w:cs="Calibri"/>
            <w:color w:val="414141"/>
            <w:sz w:val="21"/>
            <w:szCs w:val="21"/>
          </w:rPr>
          <w:t xml:space="preserve"> </w:t>
        </w:r>
        <w:r w:rsidRPr="008A6D61">
          <w:rPr>
            <w:rFonts w:ascii="Calibri" w:eastAsia="Calibri" w:hAnsi="Calibri" w:cs="Calibri"/>
            <w:color w:val="000000"/>
            <w:sz w:val="21"/>
            <w:szCs w:val="21"/>
          </w:rPr>
          <w:t>see</w:t>
        </w:r>
        <w:r w:rsidRPr="008A6D61">
          <w:rPr>
            <w:rFonts w:ascii="Calibri" w:eastAsia="Calibri" w:hAnsi="Calibri" w:cs="Calibri"/>
            <w:color w:val="0000FF"/>
            <w:sz w:val="21"/>
            <w:szCs w:val="21"/>
          </w:rPr>
          <w:t xml:space="preserve"> </w:t>
        </w:r>
        <w:hyperlink r:id="rId17" w:tooltip="IDEA Data Center website" w:history="1">
          <w:r w:rsidRPr="008A6D61">
            <w:rPr>
              <w:rFonts w:ascii="Calibri" w:eastAsia="Calibri" w:hAnsi="Calibri" w:cs="Calibri"/>
              <w:color w:val="0563C1"/>
              <w:sz w:val="21"/>
              <w:szCs w:val="21"/>
              <w:u w:val="single"/>
            </w:rPr>
            <w:t>www.ideadata.org</w:t>
          </w:r>
        </w:hyperlink>
        <w:r w:rsidRPr="00565B63">
          <w:rPr>
            <w:rFonts w:ascii="Calibri" w:eastAsia="Calibri" w:hAnsi="Calibri" w:cs="Calibri"/>
            <w:color w:val="auto"/>
            <w:sz w:val="21"/>
            <w:szCs w:val="21"/>
          </w:rPr>
          <w:t>.</w:t>
        </w:r>
      </w:hyperlink>
    </w:p>
    <w:p w14:paraId="047616C5" w14:textId="0CDE87B8" w:rsidR="001F610A" w:rsidRPr="008A6D61" w:rsidRDefault="00A56CD5" w:rsidP="001F610A">
      <w:pPr>
        <w:spacing w:line="280" w:lineRule="atLeast"/>
        <w:ind w:right="3312"/>
        <w:rPr>
          <w:rFonts w:ascii="Calibri" w:eastAsia="Calibri" w:hAnsi="Calibri" w:cs="Calibri"/>
          <w:color w:val="000000"/>
          <w:sz w:val="21"/>
          <w:szCs w:val="21"/>
        </w:rPr>
      </w:pPr>
      <w:r>
        <w:rPr>
          <w:rFonts w:ascii="Calibri" w:eastAsia="Calibri" w:hAnsi="Calibri" w:cs="Calibri"/>
          <w:color w:val="000000"/>
          <w:sz w:val="21"/>
          <w:szCs w:val="21"/>
        </w:rPr>
        <w:t>September</w:t>
      </w:r>
      <w:r w:rsidR="001F610A" w:rsidRPr="008A6D61">
        <w:rPr>
          <w:rFonts w:ascii="Calibri" w:eastAsia="Calibri" w:hAnsi="Calibri" w:cs="Calibri"/>
          <w:color w:val="000000"/>
          <w:sz w:val="21"/>
          <w:szCs w:val="21"/>
        </w:rPr>
        <w:t xml:space="preserve"> 2021</w:t>
      </w:r>
    </w:p>
    <w:p w14:paraId="41543BB0" w14:textId="77777777" w:rsidR="001F610A" w:rsidRPr="008A6D61" w:rsidRDefault="001F610A" w:rsidP="001F610A">
      <w:pPr>
        <w:spacing w:after="90" w:line="280" w:lineRule="atLeast"/>
        <w:ind w:right="3312"/>
        <w:rPr>
          <w:rFonts w:ascii="Calibri" w:eastAsia="Calibri" w:hAnsi="Calibri" w:cs="Calibri"/>
          <w:b/>
          <w:color w:val="000000"/>
          <w:sz w:val="21"/>
          <w:szCs w:val="21"/>
        </w:rPr>
      </w:pPr>
      <w:r w:rsidRPr="008A6D61">
        <w:rPr>
          <w:rFonts w:ascii="Calibri" w:eastAsia="Calibri" w:hAnsi="Calibri" w:cs="Calibri"/>
          <w:b/>
          <w:color w:val="000000"/>
          <w:sz w:val="21"/>
          <w:szCs w:val="21"/>
        </w:rPr>
        <w:t>Suggested Citation:</w:t>
      </w:r>
    </w:p>
    <w:p w14:paraId="5782AAA6" w14:textId="7D584C36" w:rsidR="001F610A" w:rsidRPr="008A6D61" w:rsidRDefault="001F610A" w:rsidP="001F610A">
      <w:pPr>
        <w:spacing w:line="280" w:lineRule="atLeast"/>
        <w:ind w:right="3312"/>
        <w:rPr>
          <w:rFonts w:ascii="Calibri" w:eastAsia="Calibri" w:hAnsi="Calibri" w:cs="Calibri"/>
          <w:color w:val="414141"/>
          <w:sz w:val="21"/>
          <w:szCs w:val="21"/>
        </w:rPr>
      </w:pPr>
      <w:r w:rsidRPr="008A6D61">
        <w:rPr>
          <w:rFonts w:ascii="Calibri" w:eastAsia="Calibri" w:hAnsi="Calibri" w:cs="Calibri"/>
          <w:color w:val="000000"/>
          <w:sz w:val="21"/>
          <w:szCs w:val="21"/>
        </w:rPr>
        <w:t xml:space="preserve">Wilkinson, R. (2021, </w:t>
      </w:r>
      <w:r w:rsidR="00A56CD5">
        <w:rPr>
          <w:rFonts w:ascii="Calibri" w:eastAsia="Calibri" w:hAnsi="Calibri" w:cs="Calibri"/>
          <w:color w:val="000000"/>
          <w:sz w:val="21"/>
          <w:szCs w:val="21"/>
        </w:rPr>
        <w:t>September</w:t>
      </w:r>
      <w:r w:rsidRPr="008A6D61">
        <w:rPr>
          <w:rFonts w:ascii="Calibri" w:eastAsia="Calibri" w:hAnsi="Calibri" w:cs="Calibri"/>
          <w:color w:val="000000"/>
          <w:sz w:val="21"/>
          <w:szCs w:val="21"/>
        </w:rPr>
        <w:t xml:space="preserve">). </w:t>
      </w:r>
      <w:r w:rsidRPr="008A6D61">
        <w:rPr>
          <w:rFonts w:ascii="Calibri" w:eastAsia="Calibri" w:hAnsi="Calibri" w:cs="Calibri"/>
          <w:i/>
          <w:color w:val="000000"/>
          <w:sz w:val="21"/>
          <w:szCs w:val="21"/>
        </w:rPr>
        <w:t>State Determinations of Local Education Agency (LEA) Performance</w:t>
      </w:r>
      <w:r w:rsidRPr="008A6D61">
        <w:rPr>
          <w:rFonts w:ascii="Calibri" w:eastAsia="Calibri" w:hAnsi="Calibri" w:cs="Calibri"/>
          <w:color w:val="000000"/>
          <w:sz w:val="21"/>
          <w:szCs w:val="21"/>
        </w:rPr>
        <w:t>. IDEA Data Center. Rockville, MD: Westat.</w:t>
      </w:r>
    </w:p>
    <w:p w14:paraId="4AD988BB" w14:textId="77777777" w:rsidR="001F610A" w:rsidRPr="008A6D61" w:rsidRDefault="001F610A" w:rsidP="001F610A">
      <w:pPr>
        <w:spacing w:before="3000" w:after="0" w:line="240" w:lineRule="atLeast"/>
        <w:jc w:val="center"/>
        <w:rPr>
          <w:rFonts w:eastAsia="Calibri" w:cs="Times New Roman"/>
          <w:color w:val="262626"/>
          <w:sz w:val="21"/>
        </w:rPr>
        <w:sectPr w:rsidR="001F610A" w:rsidRPr="008A6D61" w:rsidSect="008F2F3F">
          <w:headerReference w:type="even" r:id="rId18"/>
          <w:headerReference w:type="default" r:id="rId19"/>
          <w:footerReference w:type="even" r:id="rId20"/>
          <w:footerReference w:type="default" r:id="rId21"/>
          <w:headerReference w:type="first" r:id="rId22"/>
          <w:footerReference w:type="first" r:id="rId23"/>
          <w:pgSz w:w="12240" w:h="15840"/>
          <w:pgMar w:top="3600" w:right="1440" w:bottom="1440" w:left="1440" w:header="720" w:footer="720" w:gutter="0"/>
          <w:cols w:space="720"/>
          <w:titlePg/>
          <w:docGrid w:linePitch="360"/>
        </w:sectPr>
      </w:pPr>
      <w:r w:rsidRPr="008A6D61">
        <w:rPr>
          <w:rFonts w:eastAsia="Calibri" w:cs="Times New Roman"/>
          <w:noProof/>
          <w:color w:val="262626"/>
        </w:rPr>
        <w:drawing>
          <wp:inline distT="0" distB="0" distL="0" distR="0" wp14:anchorId="165F5364" wp14:editId="620ED48E">
            <wp:extent cx="1104900" cy="920750"/>
            <wp:effectExtent l="0" t="0" r="0" b="0"/>
            <wp:docPr id="6" name="image7.png" descr="U.S. Office of Special Education Program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104900" cy="920750"/>
                    </a:xfrm>
                    <a:prstGeom prst="rect">
                      <a:avLst/>
                    </a:prstGeom>
                  </pic:spPr>
                </pic:pic>
              </a:graphicData>
            </a:graphic>
          </wp:inline>
        </w:drawing>
      </w:r>
    </w:p>
    <w:p w14:paraId="2D6EE4C6" w14:textId="2E60B32A" w:rsidR="00064B28" w:rsidRPr="008A6D61" w:rsidRDefault="00064B28" w:rsidP="001F610A">
      <w:pPr>
        <w:pStyle w:val="Heading2"/>
        <w:rPr>
          <w:rFonts w:eastAsia="Calibri"/>
          <w:w w:val="105"/>
        </w:rPr>
      </w:pPr>
      <w:r w:rsidRPr="008A6D61">
        <w:rPr>
          <w:rFonts w:eastAsia="Calibri"/>
          <w:w w:val="105"/>
          <w:sz w:val="44"/>
          <w:szCs w:val="44"/>
        </w:rPr>
        <w:lastRenderedPageBreak/>
        <w:t>I</w:t>
      </w:r>
      <w:r w:rsidRPr="008A6D61">
        <w:rPr>
          <w:rFonts w:eastAsia="Calibri"/>
          <w:w w:val="105"/>
        </w:rPr>
        <w:t>ntroduction</w:t>
      </w:r>
    </w:p>
    <w:p w14:paraId="1EFF3074" w14:textId="41117FC0" w:rsidR="001F6AEA" w:rsidRPr="008A6D61" w:rsidRDefault="002A34BE" w:rsidP="001F610A">
      <w:pPr>
        <w:pStyle w:val="SL-FlLftSgl"/>
        <w:rPr>
          <w:lang w:val="en-US"/>
        </w:rPr>
      </w:pPr>
      <w:r w:rsidRPr="008A6D61">
        <w:rPr>
          <w:lang w:val="en-US"/>
        </w:rPr>
        <w:t>T</w:t>
      </w:r>
      <w:r w:rsidR="00CF635C" w:rsidRPr="008A6D61">
        <w:rPr>
          <w:lang w:val="en-US"/>
        </w:rPr>
        <w:t xml:space="preserve">he </w:t>
      </w:r>
      <w:r w:rsidR="00CF635C" w:rsidRPr="008A6D61">
        <w:rPr>
          <w:i/>
          <w:iCs/>
          <w:lang w:val="en-US"/>
        </w:rPr>
        <w:t>Individuals with Disabilities Education Act</w:t>
      </w:r>
      <w:r w:rsidR="00CF635C" w:rsidRPr="008A6D61">
        <w:rPr>
          <w:lang w:val="en-US"/>
        </w:rPr>
        <w:t xml:space="preserve"> (IDEA) Part B regulations</w:t>
      </w:r>
      <w:r w:rsidR="001F6AEA" w:rsidRPr="008A6D61">
        <w:rPr>
          <w:lang w:val="en-US"/>
        </w:rPr>
        <w:t xml:space="preserve">, </w:t>
      </w:r>
      <w:r w:rsidRPr="008A6D61">
        <w:rPr>
          <w:lang w:val="en-US"/>
        </w:rPr>
        <w:t>§</w:t>
      </w:r>
      <w:r w:rsidR="00A85FF7" w:rsidRPr="008A6D61">
        <w:rPr>
          <w:lang w:val="en-US"/>
        </w:rPr>
        <w:t> </w:t>
      </w:r>
      <w:r w:rsidRPr="008A6D61">
        <w:rPr>
          <w:lang w:val="en-US"/>
        </w:rPr>
        <w:t xml:space="preserve">300.600(a)(2), require states </w:t>
      </w:r>
      <w:r w:rsidR="001F6AEA" w:rsidRPr="008A6D61">
        <w:rPr>
          <w:lang w:val="en-US"/>
        </w:rPr>
        <w:t xml:space="preserve">to make determinations annually about the performance of each </w:t>
      </w:r>
      <w:r w:rsidRPr="008A6D61">
        <w:rPr>
          <w:lang w:val="en-US"/>
        </w:rPr>
        <w:t>local education</w:t>
      </w:r>
      <w:r w:rsidR="001F610A" w:rsidRPr="008A6D61">
        <w:rPr>
          <w:lang w:val="en-US"/>
        </w:rPr>
        <w:t xml:space="preserve"> </w:t>
      </w:r>
      <w:r w:rsidRPr="008A6D61">
        <w:rPr>
          <w:lang w:val="en-US"/>
        </w:rPr>
        <w:t>agency (</w:t>
      </w:r>
      <w:r w:rsidR="001F6AEA" w:rsidRPr="008A6D61">
        <w:rPr>
          <w:lang w:val="en-US"/>
        </w:rPr>
        <w:t>LEA</w:t>
      </w:r>
      <w:r w:rsidRPr="008A6D61">
        <w:rPr>
          <w:lang w:val="en-US"/>
        </w:rPr>
        <w:t>)</w:t>
      </w:r>
      <w:r w:rsidR="00A85FF7" w:rsidRPr="008A6D61">
        <w:rPr>
          <w:lang w:val="en-US"/>
        </w:rPr>
        <w:t>,</w:t>
      </w:r>
      <w:r w:rsidR="001F6AEA" w:rsidRPr="008A6D61">
        <w:rPr>
          <w:lang w:val="en-US"/>
        </w:rPr>
        <w:t xml:space="preserve"> using the categories</w:t>
      </w:r>
      <w:r w:rsidR="001F6AEA" w:rsidRPr="008A6D61">
        <w:rPr>
          <w:i/>
          <w:iCs/>
          <w:lang w:val="en-US"/>
        </w:rPr>
        <w:t xml:space="preserve"> meets requirements</w:t>
      </w:r>
      <w:r w:rsidR="001F6AEA" w:rsidRPr="008A6D61">
        <w:rPr>
          <w:lang w:val="en-US"/>
        </w:rPr>
        <w:t xml:space="preserve">, </w:t>
      </w:r>
      <w:r w:rsidR="001F6AEA" w:rsidRPr="008A6D61">
        <w:rPr>
          <w:i/>
          <w:iCs/>
          <w:lang w:val="en-US"/>
        </w:rPr>
        <w:t>needs assistance</w:t>
      </w:r>
      <w:r w:rsidR="001F6AEA" w:rsidRPr="008A6D61">
        <w:rPr>
          <w:lang w:val="en-US"/>
        </w:rPr>
        <w:t xml:space="preserve">, </w:t>
      </w:r>
      <w:r w:rsidR="001F6AEA" w:rsidRPr="008A6D61">
        <w:rPr>
          <w:i/>
          <w:iCs/>
          <w:lang w:val="en-US"/>
        </w:rPr>
        <w:t>needs intervention</w:t>
      </w:r>
      <w:r w:rsidR="001F6AEA" w:rsidRPr="008A6D61">
        <w:rPr>
          <w:lang w:val="en-US"/>
        </w:rPr>
        <w:t xml:space="preserve">, and </w:t>
      </w:r>
      <w:r w:rsidR="001F6AEA" w:rsidRPr="008A6D61">
        <w:rPr>
          <w:i/>
          <w:iCs/>
          <w:lang w:val="en-US"/>
        </w:rPr>
        <w:t>needs substantial intervention</w:t>
      </w:r>
      <w:r w:rsidRPr="008A6D61">
        <w:rPr>
          <w:iCs/>
          <w:lang w:val="en-US"/>
        </w:rPr>
        <w:t xml:space="preserve"> (</w:t>
      </w:r>
      <w:r w:rsidRPr="008A6D61">
        <w:rPr>
          <w:lang w:val="en-US"/>
        </w:rPr>
        <w:t>§</w:t>
      </w:r>
      <w:r w:rsidR="00A85FF7" w:rsidRPr="008A6D61">
        <w:rPr>
          <w:lang w:val="en-US"/>
        </w:rPr>
        <w:t> </w:t>
      </w:r>
      <w:r w:rsidRPr="008A6D61">
        <w:rPr>
          <w:lang w:val="en-US"/>
        </w:rPr>
        <w:t>300.603(b)(1))</w:t>
      </w:r>
      <w:r w:rsidR="001F6AEA" w:rsidRPr="008A6D61">
        <w:rPr>
          <w:lang w:val="en-US"/>
        </w:rPr>
        <w:t xml:space="preserve">. The Office of Special Education </w:t>
      </w:r>
      <w:r w:rsidR="00432919" w:rsidRPr="008A6D61">
        <w:rPr>
          <w:lang w:val="en-US"/>
        </w:rPr>
        <w:t xml:space="preserve">and </w:t>
      </w:r>
      <w:r w:rsidR="00036202" w:rsidRPr="008A6D61">
        <w:rPr>
          <w:lang w:val="en-US"/>
        </w:rPr>
        <w:t>Rehabilitative</w:t>
      </w:r>
      <w:r w:rsidR="00432919" w:rsidRPr="008A6D61">
        <w:rPr>
          <w:lang w:val="en-US"/>
        </w:rPr>
        <w:t xml:space="preserve"> Services</w:t>
      </w:r>
      <w:r w:rsidR="001F6AEA" w:rsidRPr="008A6D61">
        <w:rPr>
          <w:lang w:val="en-US"/>
        </w:rPr>
        <w:t xml:space="preserve"> (</w:t>
      </w:r>
      <w:r w:rsidR="002C11E8" w:rsidRPr="008A6D61">
        <w:rPr>
          <w:lang w:val="en-US"/>
        </w:rPr>
        <w:t>OSERS</w:t>
      </w:r>
      <w:r w:rsidR="001F6AEA" w:rsidRPr="008A6D61">
        <w:rPr>
          <w:lang w:val="en-US"/>
        </w:rPr>
        <w:t>)</w:t>
      </w:r>
      <w:r w:rsidR="00C47279" w:rsidRPr="008A6D61">
        <w:rPr>
          <w:lang w:val="en-US"/>
        </w:rPr>
        <w:t xml:space="preserve"> 2009</w:t>
      </w:r>
      <w:r w:rsidR="001F6AEA" w:rsidRPr="008A6D61">
        <w:rPr>
          <w:lang w:val="en-US"/>
        </w:rPr>
        <w:t xml:space="preserve"> memo,</w:t>
      </w:r>
      <w:r w:rsidR="00755A1F" w:rsidRPr="008A6D61">
        <w:rPr>
          <w:lang w:val="en-US"/>
        </w:rPr>
        <w:t xml:space="preserve"> </w:t>
      </w:r>
      <w:hyperlink r:id="rId25" w:history="1">
        <w:r w:rsidR="00755A1F" w:rsidRPr="008A6D61">
          <w:rPr>
            <w:rStyle w:val="Hyperlink"/>
            <w:i/>
            <w:iCs/>
            <w:lang w:val="en-US"/>
          </w:rPr>
          <w:t>Questions and Answers on Monitoring, Technical Assistance, and Enforcement</w:t>
        </w:r>
      </w:hyperlink>
      <w:r w:rsidR="00755A1F" w:rsidRPr="008A6D61">
        <w:rPr>
          <w:lang w:val="en-US"/>
        </w:rPr>
        <w:t>,</w:t>
      </w:r>
      <w:r w:rsidR="001F6AEA" w:rsidRPr="008A6D61">
        <w:rPr>
          <w:lang w:val="en-US"/>
        </w:rPr>
        <w:t xml:space="preserve"> provides further details on factors states must consider when making LEA determinations, including</w:t>
      </w:r>
    </w:p>
    <w:p w14:paraId="70439405" w14:textId="2FC633F2" w:rsidR="001F6AEA" w:rsidRPr="008A6D61" w:rsidRDefault="006B1AEB" w:rsidP="001F610A">
      <w:pPr>
        <w:pStyle w:val="N1-1stBullet"/>
      </w:pPr>
      <w:r w:rsidRPr="008A6D61">
        <w:t>p</w:t>
      </w:r>
      <w:r w:rsidR="001F6AEA" w:rsidRPr="008A6D61">
        <w:t>erformance on</w:t>
      </w:r>
      <w:r w:rsidR="00366DCC" w:rsidRPr="008A6D61">
        <w:t xml:space="preserve"> State Performance Plan</w:t>
      </w:r>
      <w:r w:rsidR="00C217E9" w:rsidRPr="008A6D61">
        <w:t>/Annual Performance Report (SPP/APR)</w:t>
      </w:r>
      <w:r w:rsidR="001F6AEA" w:rsidRPr="008A6D61">
        <w:t xml:space="preserve"> compliance indicators; </w:t>
      </w:r>
    </w:p>
    <w:p w14:paraId="7968D613" w14:textId="4516D217" w:rsidR="00366DCC" w:rsidRPr="008A6D61" w:rsidRDefault="006B1AEB" w:rsidP="001F610A">
      <w:pPr>
        <w:pStyle w:val="N1-1stBullet"/>
      </w:pPr>
      <w:r w:rsidRPr="008A6D61">
        <w:t>v</w:t>
      </w:r>
      <w:r w:rsidR="001F6AEA" w:rsidRPr="008A6D61">
        <w:t xml:space="preserve">alid and reliable data; </w:t>
      </w:r>
    </w:p>
    <w:p w14:paraId="006EED29" w14:textId="17868D6E" w:rsidR="00366DCC" w:rsidRPr="008A6D61" w:rsidRDefault="006B1AEB" w:rsidP="001F610A">
      <w:pPr>
        <w:pStyle w:val="N1-1stBullet"/>
      </w:pPr>
      <w:r w:rsidRPr="008A6D61">
        <w:t>c</w:t>
      </w:r>
      <w:r w:rsidR="001F6AEA" w:rsidRPr="008A6D61">
        <w:t xml:space="preserve">orrection of identified noncompliance; and </w:t>
      </w:r>
    </w:p>
    <w:p w14:paraId="4E0569AC" w14:textId="682ACAB6" w:rsidR="00366DCC" w:rsidRPr="008A6D61" w:rsidRDefault="006B1AEB" w:rsidP="00195AD0">
      <w:pPr>
        <w:pStyle w:val="N1-1stBullet"/>
        <w:spacing w:after="180"/>
      </w:pPr>
      <w:r w:rsidRPr="008A6D61">
        <w:t>o</w:t>
      </w:r>
      <w:r w:rsidR="001F6AEA" w:rsidRPr="008A6D61">
        <w:t xml:space="preserve">ther data available to the </w:t>
      </w:r>
      <w:r w:rsidR="00366DCC" w:rsidRPr="008A6D61">
        <w:t>state</w:t>
      </w:r>
      <w:r w:rsidR="001F6AEA" w:rsidRPr="008A6D61">
        <w:t xml:space="preserve"> </w:t>
      </w:r>
      <w:r w:rsidR="00366DCC" w:rsidRPr="008A6D61">
        <w:t>regarding</w:t>
      </w:r>
      <w:r w:rsidR="001F6AEA" w:rsidRPr="008A6D61">
        <w:t xml:space="preserve"> the LEA’s compliance with IDEA, including relevant audit findings. </w:t>
      </w:r>
    </w:p>
    <w:p w14:paraId="1B9C5876" w14:textId="1C9976A0" w:rsidR="00030C00" w:rsidRPr="008A6D61" w:rsidRDefault="00F839BF" w:rsidP="001F610A">
      <w:pPr>
        <w:pStyle w:val="SL-FlLftSgl"/>
        <w:rPr>
          <w:lang w:val="en-US"/>
        </w:rPr>
      </w:pPr>
      <w:r w:rsidRPr="008A6D61">
        <w:rPr>
          <w:lang w:val="en-US"/>
        </w:rPr>
        <w:t>Additionally</w:t>
      </w:r>
      <w:r w:rsidR="006B1AEB" w:rsidRPr="008A6D61">
        <w:rPr>
          <w:lang w:val="en-US"/>
        </w:rPr>
        <w:t>, s</w:t>
      </w:r>
      <w:r w:rsidR="001F6AEA" w:rsidRPr="008A6D61">
        <w:rPr>
          <w:lang w:val="en-US"/>
        </w:rPr>
        <w:t>tates may conside</w:t>
      </w:r>
      <w:r w:rsidR="00413A02" w:rsidRPr="008A6D61">
        <w:rPr>
          <w:lang w:val="en-US"/>
        </w:rPr>
        <w:t>r performance</w:t>
      </w:r>
      <w:r w:rsidR="001F6AEA" w:rsidRPr="008A6D61">
        <w:rPr>
          <w:lang w:val="en-US"/>
        </w:rPr>
        <w:t xml:space="preserve"> on </w:t>
      </w:r>
      <w:r w:rsidR="00413A02" w:rsidRPr="008A6D61">
        <w:rPr>
          <w:lang w:val="en-US"/>
        </w:rPr>
        <w:t>results</w:t>
      </w:r>
      <w:r w:rsidR="001F6AEA" w:rsidRPr="008A6D61">
        <w:rPr>
          <w:lang w:val="en-US"/>
        </w:rPr>
        <w:t xml:space="preserve"> indicators</w:t>
      </w:r>
      <w:r w:rsidR="00030C00" w:rsidRPr="008A6D61">
        <w:rPr>
          <w:lang w:val="en-US"/>
        </w:rPr>
        <w:t xml:space="preserve"> when issuing </w:t>
      </w:r>
      <w:r w:rsidR="006B1AEB" w:rsidRPr="008A6D61">
        <w:rPr>
          <w:lang w:val="en-US"/>
        </w:rPr>
        <w:t>LEA determinations</w:t>
      </w:r>
      <w:r w:rsidR="001F6AEA" w:rsidRPr="008A6D61">
        <w:rPr>
          <w:lang w:val="en-US"/>
        </w:rPr>
        <w:t>.</w:t>
      </w:r>
      <w:r w:rsidR="00366DCC" w:rsidRPr="008A6D61">
        <w:rPr>
          <w:lang w:val="en-US"/>
        </w:rPr>
        <w:t xml:space="preserve"> For example, states may choose to include data elements aligned with state priorities or other monitoring activities, such as graduation rate for </w:t>
      </w:r>
      <w:r w:rsidR="00A50AFD" w:rsidRPr="008A6D61">
        <w:rPr>
          <w:lang w:val="en-US"/>
        </w:rPr>
        <w:t xml:space="preserve">youth </w:t>
      </w:r>
      <w:r w:rsidR="00366DCC" w:rsidRPr="008A6D61">
        <w:rPr>
          <w:lang w:val="en-US"/>
        </w:rPr>
        <w:t xml:space="preserve">with disabilities or performance </w:t>
      </w:r>
      <w:r w:rsidR="00A50AFD" w:rsidRPr="008A6D61">
        <w:rPr>
          <w:lang w:val="en-US"/>
        </w:rPr>
        <w:t xml:space="preserve">of children and youth with disabilities </w:t>
      </w:r>
      <w:r w:rsidR="00366DCC" w:rsidRPr="008A6D61">
        <w:rPr>
          <w:lang w:val="en-US"/>
        </w:rPr>
        <w:t xml:space="preserve">on statewide assessments. </w:t>
      </w:r>
      <w:r w:rsidR="00030C00" w:rsidRPr="008A6D61">
        <w:rPr>
          <w:lang w:val="en-US"/>
        </w:rPr>
        <w:t xml:space="preserve">States also </w:t>
      </w:r>
      <w:r w:rsidR="008347BB" w:rsidRPr="008A6D61">
        <w:rPr>
          <w:lang w:val="en-US"/>
        </w:rPr>
        <w:t xml:space="preserve">may </w:t>
      </w:r>
      <w:r w:rsidR="00030C00" w:rsidRPr="008A6D61">
        <w:rPr>
          <w:lang w:val="en-US"/>
        </w:rPr>
        <w:t xml:space="preserve">include other information they deem relevant </w:t>
      </w:r>
      <w:r w:rsidR="00405694" w:rsidRPr="008A6D61">
        <w:rPr>
          <w:lang w:val="en-US"/>
        </w:rPr>
        <w:t xml:space="preserve">for </w:t>
      </w:r>
      <w:r w:rsidR="00030C00" w:rsidRPr="008A6D61">
        <w:rPr>
          <w:lang w:val="en-US"/>
        </w:rPr>
        <w:t xml:space="preserve">LEA determinations aside </w:t>
      </w:r>
      <w:r w:rsidR="00405694" w:rsidRPr="008A6D61">
        <w:rPr>
          <w:lang w:val="en-US"/>
        </w:rPr>
        <w:t>from</w:t>
      </w:r>
      <w:r w:rsidR="00030C00" w:rsidRPr="008A6D61">
        <w:rPr>
          <w:lang w:val="en-US"/>
        </w:rPr>
        <w:t xml:space="preserve"> SPP/APR indicators. For example, states may factor </w:t>
      </w:r>
      <w:r w:rsidR="005067CF" w:rsidRPr="008A6D61">
        <w:rPr>
          <w:lang w:val="en-US"/>
        </w:rPr>
        <w:t xml:space="preserve">in </w:t>
      </w:r>
      <w:r w:rsidR="00B50D39" w:rsidRPr="008A6D61">
        <w:rPr>
          <w:lang w:val="en-US"/>
        </w:rPr>
        <w:t>designations</w:t>
      </w:r>
      <w:r w:rsidR="005067CF" w:rsidRPr="008A6D61">
        <w:rPr>
          <w:lang w:val="en-US"/>
        </w:rPr>
        <w:t xml:space="preserve"> of significan</w:t>
      </w:r>
      <w:r w:rsidR="00050ACD" w:rsidRPr="008A6D61">
        <w:rPr>
          <w:lang w:val="en-US"/>
        </w:rPr>
        <w:t xml:space="preserve">t disproportionality or </w:t>
      </w:r>
      <w:r w:rsidR="00030C00" w:rsidRPr="008A6D61">
        <w:rPr>
          <w:lang w:val="en-US"/>
        </w:rPr>
        <w:t>results from student file reviews conducted for the LEA.</w:t>
      </w:r>
    </w:p>
    <w:p w14:paraId="4C9F51AE" w14:textId="4E146527" w:rsidR="008659C5" w:rsidRPr="008A6D61" w:rsidRDefault="00C17175" w:rsidP="00817494">
      <w:pPr>
        <w:pStyle w:val="SL-FlLftSgl"/>
        <w:spacing w:after="360"/>
        <w:rPr>
          <w:lang w:val="en-US"/>
        </w:rPr>
      </w:pPr>
      <w:r w:rsidRPr="008A6D61">
        <w:rPr>
          <w:lang w:val="en-US"/>
        </w:rPr>
        <w:t xml:space="preserve">This </w:t>
      </w:r>
      <w:r w:rsidR="00516653" w:rsidRPr="008A6D61">
        <w:rPr>
          <w:lang w:val="en-US"/>
        </w:rPr>
        <w:t>resource</w:t>
      </w:r>
      <w:r w:rsidR="00C6411C" w:rsidRPr="008A6D61">
        <w:rPr>
          <w:lang w:val="en-US"/>
        </w:rPr>
        <w:t xml:space="preserve"> </w:t>
      </w:r>
      <w:r w:rsidRPr="008A6D61">
        <w:rPr>
          <w:lang w:val="en-US"/>
        </w:rPr>
        <w:t>provide</w:t>
      </w:r>
      <w:r w:rsidR="002A34BE" w:rsidRPr="008A6D61">
        <w:rPr>
          <w:lang w:val="en-US"/>
        </w:rPr>
        <w:t>s</w:t>
      </w:r>
      <w:r w:rsidRPr="008A6D61">
        <w:rPr>
          <w:lang w:val="en-US"/>
        </w:rPr>
        <w:t xml:space="preserve"> a summary </w:t>
      </w:r>
      <w:r w:rsidR="00400C54" w:rsidRPr="008A6D61">
        <w:rPr>
          <w:lang w:val="en-US"/>
        </w:rPr>
        <w:t>of 28 states’</w:t>
      </w:r>
      <w:r w:rsidR="0090319D" w:rsidRPr="008A6D61">
        <w:rPr>
          <w:rStyle w:val="FootnoteReference"/>
          <w:lang w:val="en-US"/>
        </w:rPr>
        <w:footnoteReference w:id="1"/>
      </w:r>
      <w:r w:rsidR="00400C54" w:rsidRPr="008A6D61">
        <w:rPr>
          <w:lang w:val="en-US"/>
        </w:rPr>
        <w:t xml:space="preserve"> publicly available LEA</w:t>
      </w:r>
      <w:r w:rsidRPr="008A6D61">
        <w:rPr>
          <w:lang w:val="en-US"/>
        </w:rPr>
        <w:t xml:space="preserve"> determinations processes</w:t>
      </w:r>
      <w:r w:rsidR="00680361" w:rsidRPr="008A6D61">
        <w:rPr>
          <w:lang w:val="en-US"/>
        </w:rPr>
        <w:t xml:space="preserve"> and</w:t>
      </w:r>
      <w:r w:rsidR="00516653" w:rsidRPr="008A6D61">
        <w:rPr>
          <w:lang w:val="en-US"/>
        </w:rPr>
        <w:t xml:space="preserve"> illustrates the diverse ways</w:t>
      </w:r>
      <w:r w:rsidR="00680361" w:rsidRPr="008A6D61">
        <w:rPr>
          <w:lang w:val="en-US"/>
        </w:rPr>
        <w:t xml:space="preserve"> these</w:t>
      </w:r>
      <w:r w:rsidR="00516653" w:rsidRPr="008A6D61">
        <w:rPr>
          <w:lang w:val="en-US"/>
        </w:rPr>
        <w:t xml:space="preserve"> states use data elements</w:t>
      </w:r>
      <w:r w:rsidR="007C0428" w:rsidRPr="008A6D61">
        <w:rPr>
          <w:lang w:val="en-US"/>
        </w:rPr>
        <w:t xml:space="preserve"> in LEA determinations</w:t>
      </w:r>
      <w:r w:rsidR="00516653" w:rsidRPr="008A6D61">
        <w:rPr>
          <w:lang w:val="en-US"/>
        </w:rPr>
        <w:t xml:space="preserve">, calculate LEA determinations, </w:t>
      </w:r>
      <w:r w:rsidR="00680361" w:rsidRPr="008A6D61">
        <w:rPr>
          <w:lang w:val="en-US"/>
        </w:rPr>
        <w:t xml:space="preserve">and apply criteria for the different determination categories. </w:t>
      </w:r>
      <w:r w:rsidR="000C7FCE" w:rsidRPr="008A6D61">
        <w:rPr>
          <w:lang w:val="en-US"/>
        </w:rPr>
        <w:t>Information about r</w:t>
      </w:r>
      <w:r w:rsidR="00116C1A" w:rsidRPr="008A6D61">
        <w:rPr>
          <w:lang w:val="en-US"/>
        </w:rPr>
        <w:t>eal</w:t>
      </w:r>
      <w:r w:rsidR="00680361" w:rsidRPr="008A6D61">
        <w:rPr>
          <w:lang w:val="en-US"/>
        </w:rPr>
        <w:t xml:space="preserve">-world </w:t>
      </w:r>
      <w:r w:rsidR="000C7FCE" w:rsidRPr="008A6D61">
        <w:rPr>
          <w:lang w:val="en-US"/>
        </w:rPr>
        <w:t xml:space="preserve">LEA determination processes </w:t>
      </w:r>
      <w:r w:rsidR="00602D88" w:rsidRPr="008A6D61">
        <w:rPr>
          <w:lang w:val="en-US"/>
        </w:rPr>
        <w:t>that states use</w:t>
      </w:r>
      <w:r w:rsidR="000C7FCE" w:rsidRPr="008A6D61">
        <w:rPr>
          <w:lang w:val="en-US"/>
        </w:rPr>
        <w:t xml:space="preserve"> </w:t>
      </w:r>
      <w:r w:rsidR="00116C1A" w:rsidRPr="008A6D61">
        <w:rPr>
          <w:lang w:val="en-US"/>
        </w:rPr>
        <w:t>can be valuable references for</w:t>
      </w:r>
      <w:r w:rsidR="00680361" w:rsidRPr="008A6D61">
        <w:rPr>
          <w:lang w:val="en-US"/>
        </w:rPr>
        <w:t xml:space="preserve"> states </w:t>
      </w:r>
      <w:r w:rsidR="000C7FCE" w:rsidRPr="008A6D61">
        <w:rPr>
          <w:lang w:val="en-US"/>
        </w:rPr>
        <w:t xml:space="preserve">that are </w:t>
      </w:r>
      <w:r w:rsidR="00116C1A" w:rsidRPr="008A6D61">
        <w:rPr>
          <w:lang w:val="en-US"/>
        </w:rPr>
        <w:t xml:space="preserve">revisiting, </w:t>
      </w:r>
      <w:r w:rsidR="00680361" w:rsidRPr="008A6D61">
        <w:rPr>
          <w:lang w:val="en-US"/>
        </w:rPr>
        <w:t>reconceptualizing</w:t>
      </w:r>
      <w:r w:rsidR="00116C1A" w:rsidRPr="008A6D61">
        <w:rPr>
          <w:lang w:val="en-US"/>
        </w:rPr>
        <w:t>,</w:t>
      </w:r>
      <w:r w:rsidR="00680361" w:rsidRPr="008A6D61">
        <w:rPr>
          <w:lang w:val="en-US"/>
        </w:rPr>
        <w:t xml:space="preserve"> or refining their own LEA determinations processes</w:t>
      </w:r>
      <w:r w:rsidR="00116C1A" w:rsidRPr="008A6D61">
        <w:rPr>
          <w:lang w:val="en-US"/>
        </w:rPr>
        <w:t>.</w:t>
      </w:r>
    </w:p>
    <w:p w14:paraId="656335F2" w14:textId="12EA2179" w:rsidR="00604BE0" w:rsidRPr="008A6D61" w:rsidRDefault="007C0428" w:rsidP="00817494">
      <w:pPr>
        <w:pStyle w:val="Heading2"/>
        <w:spacing w:before="180"/>
      </w:pPr>
      <w:r w:rsidRPr="008A6D61">
        <w:t>Methodology</w:t>
      </w:r>
    </w:p>
    <w:p w14:paraId="6798314A" w14:textId="01D837E2" w:rsidR="00366DCC" w:rsidRPr="008A6D61" w:rsidRDefault="00936629" w:rsidP="001F610A">
      <w:pPr>
        <w:pStyle w:val="SL-FlLftSgl"/>
        <w:rPr>
          <w:lang w:val="en-US"/>
        </w:rPr>
      </w:pPr>
      <w:r w:rsidRPr="008A6D61">
        <w:rPr>
          <w:lang w:val="en-US"/>
        </w:rPr>
        <w:t>The data for this analysis c</w:t>
      </w:r>
      <w:r w:rsidR="00DC4F04" w:rsidRPr="008A6D61">
        <w:rPr>
          <w:lang w:val="en-US"/>
        </w:rPr>
        <w:t>a</w:t>
      </w:r>
      <w:r w:rsidRPr="008A6D61">
        <w:rPr>
          <w:lang w:val="en-US"/>
        </w:rPr>
        <w:t>me from 28 states</w:t>
      </w:r>
      <w:r w:rsidR="00412AD0" w:rsidRPr="008A6D61">
        <w:rPr>
          <w:lang w:val="en-US"/>
        </w:rPr>
        <w:t xml:space="preserve"> </w:t>
      </w:r>
      <w:r w:rsidR="003242A3" w:rsidRPr="008A6D61">
        <w:rPr>
          <w:lang w:val="en-US"/>
        </w:rPr>
        <w:t>that</w:t>
      </w:r>
      <w:r w:rsidR="00412AD0" w:rsidRPr="008A6D61">
        <w:rPr>
          <w:lang w:val="en-US"/>
        </w:rPr>
        <w:t xml:space="preserve"> </w:t>
      </w:r>
      <w:r w:rsidR="00F83BDA" w:rsidRPr="008A6D61">
        <w:rPr>
          <w:lang w:val="en-US"/>
        </w:rPr>
        <w:t>have</w:t>
      </w:r>
      <w:r w:rsidR="00412AD0" w:rsidRPr="008A6D61">
        <w:rPr>
          <w:lang w:val="en-US"/>
        </w:rPr>
        <w:t xml:space="preserve"> LEA determination </w:t>
      </w:r>
      <w:r w:rsidR="00413A02" w:rsidRPr="008A6D61">
        <w:rPr>
          <w:lang w:val="en-US"/>
        </w:rPr>
        <w:t>information</w:t>
      </w:r>
      <w:r w:rsidR="00412AD0" w:rsidRPr="008A6D61">
        <w:rPr>
          <w:lang w:val="en-US"/>
        </w:rPr>
        <w:t xml:space="preserve"> publicly posted online. There is no obligation for states to </w:t>
      </w:r>
      <w:r w:rsidR="00EA7B75" w:rsidRPr="008A6D61">
        <w:rPr>
          <w:lang w:val="en-US"/>
        </w:rPr>
        <w:t>share</w:t>
      </w:r>
      <w:r w:rsidR="00412AD0" w:rsidRPr="008A6D61">
        <w:rPr>
          <w:lang w:val="en-US"/>
        </w:rPr>
        <w:t xml:space="preserve"> this information</w:t>
      </w:r>
      <w:r w:rsidR="008F4FC0" w:rsidRPr="008A6D61">
        <w:rPr>
          <w:lang w:val="en-US"/>
        </w:rPr>
        <w:t>;</w:t>
      </w:r>
      <w:r w:rsidR="00412AD0" w:rsidRPr="008A6D61">
        <w:rPr>
          <w:lang w:val="en-US"/>
        </w:rPr>
        <w:t xml:space="preserve"> accordingly</w:t>
      </w:r>
      <w:r w:rsidR="00DC4F04" w:rsidRPr="008A6D61">
        <w:rPr>
          <w:lang w:val="en-US"/>
        </w:rPr>
        <w:t>,</w:t>
      </w:r>
      <w:r w:rsidR="00C6411C" w:rsidRPr="008A6D61">
        <w:rPr>
          <w:lang w:val="en-US"/>
        </w:rPr>
        <w:t xml:space="preserve"> IDC could not obtain</w:t>
      </w:r>
      <w:r w:rsidR="00412AD0" w:rsidRPr="008A6D61">
        <w:rPr>
          <w:lang w:val="en-US"/>
        </w:rPr>
        <w:t xml:space="preserve"> documentation of </w:t>
      </w:r>
      <w:r w:rsidR="00413A02" w:rsidRPr="008A6D61">
        <w:rPr>
          <w:lang w:val="en-US"/>
        </w:rPr>
        <w:t>LEA determination information</w:t>
      </w:r>
      <w:r w:rsidR="00412AD0" w:rsidRPr="008A6D61">
        <w:rPr>
          <w:lang w:val="en-US"/>
        </w:rPr>
        <w:t xml:space="preserve"> for all states</w:t>
      </w:r>
      <w:r w:rsidR="00EA7B75" w:rsidRPr="008A6D61">
        <w:rPr>
          <w:lang w:val="en-US"/>
        </w:rPr>
        <w:t xml:space="preserve"> and territories</w:t>
      </w:r>
      <w:r w:rsidR="00412AD0" w:rsidRPr="008A6D61">
        <w:rPr>
          <w:lang w:val="en-US"/>
        </w:rPr>
        <w:t xml:space="preserve">. </w:t>
      </w:r>
      <w:r w:rsidR="005B70B7" w:rsidRPr="008A6D61">
        <w:rPr>
          <w:lang w:val="en-US"/>
        </w:rPr>
        <w:t xml:space="preserve">We </w:t>
      </w:r>
      <w:r w:rsidR="0014707F" w:rsidRPr="008A6D61">
        <w:rPr>
          <w:lang w:val="en-US"/>
        </w:rPr>
        <w:t>retrieved t</w:t>
      </w:r>
      <w:r w:rsidR="00C217E9" w:rsidRPr="008A6D61">
        <w:rPr>
          <w:lang w:val="en-US"/>
        </w:rPr>
        <w:t xml:space="preserve">he LEA determination </w:t>
      </w:r>
      <w:r w:rsidR="00F01378" w:rsidRPr="008A6D61">
        <w:rPr>
          <w:lang w:val="en-US"/>
        </w:rPr>
        <w:t xml:space="preserve">information </w:t>
      </w:r>
      <w:r w:rsidR="00C217E9" w:rsidRPr="008A6D61">
        <w:rPr>
          <w:lang w:val="en-US"/>
        </w:rPr>
        <w:t>for these 28 states</w:t>
      </w:r>
      <w:r w:rsidR="002C11E8" w:rsidRPr="008A6D61">
        <w:rPr>
          <w:lang w:val="en-US"/>
        </w:rPr>
        <w:t xml:space="preserve"> from state websites</w:t>
      </w:r>
      <w:r w:rsidR="00C217E9" w:rsidRPr="008A6D61">
        <w:rPr>
          <w:lang w:val="en-US"/>
        </w:rPr>
        <w:t xml:space="preserve"> in the winter of </w:t>
      </w:r>
      <w:r w:rsidR="008B2598" w:rsidRPr="008A6D61">
        <w:rPr>
          <w:lang w:val="en-US"/>
        </w:rPr>
        <w:t>2020</w:t>
      </w:r>
      <w:r w:rsidR="00C217E9" w:rsidRPr="008A6D61">
        <w:rPr>
          <w:lang w:val="en-US"/>
        </w:rPr>
        <w:t>.</w:t>
      </w:r>
    </w:p>
    <w:p w14:paraId="0E8A5359" w14:textId="444FBBBD" w:rsidR="003975B6" w:rsidRPr="008A6D61" w:rsidRDefault="000955F1" w:rsidP="001F610A">
      <w:pPr>
        <w:pStyle w:val="SL-FlLftSgl"/>
        <w:rPr>
          <w:lang w:val="en-US"/>
        </w:rPr>
      </w:pPr>
      <w:r w:rsidRPr="008A6D61">
        <w:rPr>
          <w:lang w:val="en-US"/>
        </w:rPr>
        <w:t xml:space="preserve">For the analysis, </w:t>
      </w:r>
      <w:r w:rsidR="005B70B7" w:rsidRPr="008A6D61">
        <w:rPr>
          <w:lang w:val="en-US"/>
        </w:rPr>
        <w:t xml:space="preserve">we </w:t>
      </w:r>
      <w:r w:rsidR="003E50B9" w:rsidRPr="008A6D61">
        <w:rPr>
          <w:lang w:val="en-US"/>
        </w:rPr>
        <w:t>first</w:t>
      </w:r>
      <w:r w:rsidRPr="008A6D61">
        <w:rPr>
          <w:lang w:val="en-US"/>
        </w:rPr>
        <w:t xml:space="preserve"> </w:t>
      </w:r>
      <w:r w:rsidR="00545AAC" w:rsidRPr="008A6D61">
        <w:rPr>
          <w:lang w:val="en-US"/>
        </w:rPr>
        <w:t>reviewed states’ websites for information about LEA de</w:t>
      </w:r>
      <w:r w:rsidR="003E50B9" w:rsidRPr="008A6D61">
        <w:rPr>
          <w:lang w:val="en-US"/>
        </w:rPr>
        <w:t>te</w:t>
      </w:r>
      <w:r w:rsidR="00545AAC" w:rsidRPr="008A6D61">
        <w:rPr>
          <w:lang w:val="en-US"/>
        </w:rPr>
        <w:t>rmination processes</w:t>
      </w:r>
      <w:r w:rsidR="003E50B9" w:rsidRPr="008A6D61">
        <w:rPr>
          <w:lang w:val="en-US"/>
        </w:rPr>
        <w:t xml:space="preserve"> and</w:t>
      </w:r>
      <w:r w:rsidR="00545AAC" w:rsidRPr="008A6D61">
        <w:rPr>
          <w:lang w:val="en-US"/>
        </w:rPr>
        <w:t xml:space="preserve"> </w:t>
      </w:r>
      <w:r w:rsidR="003E50B9" w:rsidRPr="008A6D61">
        <w:rPr>
          <w:lang w:val="en-US"/>
        </w:rPr>
        <w:t xml:space="preserve">documented the information </w:t>
      </w:r>
      <w:r w:rsidR="00507FC6" w:rsidRPr="008A6D61">
        <w:rPr>
          <w:lang w:val="en-US"/>
        </w:rPr>
        <w:t>that was available</w:t>
      </w:r>
      <w:r w:rsidR="003E50B9" w:rsidRPr="008A6D61">
        <w:rPr>
          <w:lang w:val="en-US"/>
        </w:rPr>
        <w:t xml:space="preserve">. We then coded </w:t>
      </w:r>
      <w:r w:rsidR="00507FC6" w:rsidRPr="008A6D61">
        <w:rPr>
          <w:lang w:val="en-US"/>
        </w:rPr>
        <w:t>the information for each state, focusing o</w:t>
      </w:r>
      <w:r w:rsidR="003E50B9" w:rsidRPr="008A6D61">
        <w:rPr>
          <w:lang w:val="en-US"/>
        </w:rPr>
        <w:t>n three aspects of states’ LEA determinations processes</w:t>
      </w:r>
      <w:r w:rsidR="00507FC6" w:rsidRPr="008A6D61">
        <w:rPr>
          <w:lang w:val="en-US"/>
        </w:rPr>
        <w:t xml:space="preserve"> (see </w:t>
      </w:r>
      <w:hyperlink w:anchor="Appendix_A" w:history="1">
        <w:r w:rsidR="00507FC6" w:rsidRPr="008A6D61">
          <w:rPr>
            <w:rStyle w:val="Hyperlink"/>
            <w:lang w:val="en-US"/>
          </w:rPr>
          <w:t>appendix A</w:t>
        </w:r>
        <w:r w:rsidR="00507FC6" w:rsidRPr="00A56CD5">
          <w:rPr>
            <w:rStyle w:val="Hyperlink"/>
            <w:color w:val="000000" w:themeColor="text1"/>
            <w:u w:val="none"/>
            <w:lang w:val="en-US"/>
          </w:rPr>
          <w:t>)</w:t>
        </w:r>
      </w:hyperlink>
      <w:r w:rsidR="003E50B9" w:rsidRPr="008A6D61">
        <w:rPr>
          <w:lang w:val="en-US"/>
        </w:rPr>
        <w:t>: (1) the key data elements that states reviewed and included when making determinations, including the prevalence of certain SPP/APR indicators and other data</w:t>
      </w:r>
      <w:r w:rsidR="004A48C0" w:rsidRPr="008A6D61">
        <w:rPr>
          <w:lang w:val="en-US"/>
        </w:rPr>
        <w:t>;</w:t>
      </w:r>
      <w:r w:rsidR="003E50B9" w:rsidRPr="008A6D61">
        <w:rPr>
          <w:lang w:val="en-US"/>
        </w:rPr>
        <w:t xml:space="preserve"> (2) states’ methodologies for assigning determinations (e.g., points they assigned to data elements, weighting of priority data)</w:t>
      </w:r>
      <w:r w:rsidR="004A48C0" w:rsidRPr="008A6D61">
        <w:rPr>
          <w:lang w:val="en-US"/>
        </w:rPr>
        <w:t>;</w:t>
      </w:r>
      <w:r w:rsidR="003E50B9" w:rsidRPr="008A6D61">
        <w:rPr>
          <w:lang w:val="en-US"/>
        </w:rPr>
        <w:t xml:space="preserve"> and (3) the criteria state</w:t>
      </w:r>
      <w:r w:rsidR="003C5FD7" w:rsidRPr="008A6D61">
        <w:rPr>
          <w:lang w:val="en-US"/>
        </w:rPr>
        <w:t>s</w:t>
      </w:r>
      <w:r w:rsidR="003E50B9" w:rsidRPr="008A6D61">
        <w:rPr>
          <w:lang w:val="en-US"/>
        </w:rPr>
        <w:t xml:space="preserve"> use</w:t>
      </w:r>
      <w:r w:rsidR="008347BB" w:rsidRPr="008A6D61">
        <w:rPr>
          <w:lang w:val="en-US"/>
        </w:rPr>
        <w:t>d</w:t>
      </w:r>
      <w:r w:rsidR="003E50B9" w:rsidRPr="008A6D61">
        <w:rPr>
          <w:lang w:val="en-US"/>
        </w:rPr>
        <w:t xml:space="preserve"> to assign LEAs to the four determination </w:t>
      </w:r>
      <w:r w:rsidR="003E50B9" w:rsidRPr="008A6D61">
        <w:rPr>
          <w:lang w:val="en-US"/>
        </w:rPr>
        <w:lastRenderedPageBreak/>
        <w:t xml:space="preserve">categories (i.e., </w:t>
      </w:r>
      <w:r w:rsidR="003E50B9" w:rsidRPr="008A6D61">
        <w:rPr>
          <w:i/>
          <w:lang w:val="en-US"/>
        </w:rPr>
        <w:t>meets requirements</w:t>
      </w:r>
      <w:r w:rsidR="003E50B9" w:rsidRPr="008A6D61">
        <w:rPr>
          <w:lang w:val="en-US"/>
        </w:rPr>
        <w:t xml:space="preserve">, </w:t>
      </w:r>
      <w:r w:rsidR="003E50B9" w:rsidRPr="008A6D61">
        <w:rPr>
          <w:i/>
          <w:lang w:val="en-US"/>
        </w:rPr>
        <w:t>needs assistance</w:t>
      </w:r>
      <w:r w:rsidR="003E50B9" w:rsidRPr="008A6D61">
        <w:rPr>
          <w:lang w:val="en-US"/>
        </w:rPr>
        <w:t xml:space="preserve">, </w:t>
      </w:r>
      <w:r w:rsidR="003E50B9" w:rsidRPr="008A6D61">
        <w:rPr>
          <w:i/>
          <w:lang w:val="en-US"/>
        </w:rPr>
        <w:t>needs intervention</w:t>
      </w:r>
      <w:r w:rsidR="003E50B9" w:rsidRPr="008A6D61">
        <w:rPr>
          <w:lang w:val="en-US"/>
        </w:rPr>
        <w:t xml:space="preserve">, and </w:t>
      </w:r>
      <w:r w:rsidR="003E50B9" w:rsidRPr="008A6D61">
        <w:rPr>
          <w:i/>
          <w:lang w:val="en-US"/>
        </w:rPr>
        <w:t>needs substantial intervention</w:t>
      </w:r>
      <w:r w:rsidR="003E50B9" w:rsidRPr="008A6D61">
        <w:rPr>
          <w:lang w:val="en-US"/>
        </w:rPr>
        <w:t xml:space="preserve">). </w:t>
      </w:r>
      <w:r w:rsidR="00622C25" w:rsidRPr="008A6D61">
        <w:rPr>
          <w:lang w:val="en-US"/>
        </w:rPr>
        <w:t xml:space="preserve">We then summarized the information using counts and frequencies. </w:t>
      </w:r>
      <w:r w:rsidRPr="008A6D61">
        <w:rPr>
          <w:lang w:val="en-US"/>
        </w:rPr>
        <w:t xml:space="preserve">As aforementioned, </w:t>
      </w:r>
      <w:r w:rsidR="00BA76ED" w:rsidRPr="008A6D61">
        <w:rPr>
          <w:lang w:val="en-US"/>
        </w:rPr>
        <w:t>IDC</w:t>
      </w:r>
      <w:r w:rsidR="005B70B7" w:rsidRPr="008A6D61">
        <w:rPr>
          <w:lang w:val="en-US"/>
        </w:rPr>
        <w:t xml:space="preserve"> </w:t>
      </w:r>
      <w:r w:rsidR="00622C25" w:rsidRPr="008A6D61">
        <w:rPr>
          <w:lang w:val="en-US"/>
        </w:rPr>
        <w:t xml:space="preserve">only reviewed information states made </w:t>
      </w:r>
      <w:r w:rsidRPr="008A6D61">
        <w:rPr>
          <w:lang w:val="en-US"/>
        </w:rPr>
        <w:t>publicly available regarding LEA determinations, and</w:t>
      </w:r>
      <w:r w:rsidR="00622C25" w:rsidRPr="008A6D61">
        <w:rPr>
          <w:lang w:val="en-US"/>
        </w:rPr>
        <w:t>, therefore,</w:t>
      </w:r>
      <w:r w:rsidRPr="008A6D61">
        <w:rPr>
          <w:lang w:val="en-US"/>
        </w:rPr>
        <w:t xml:space="preserve"> some states did not provide </w:t>
      </w:r>
      <w:r w:rsidR="00622C25" w:rsidRPr="008A6D61">
        <w:rPr>
          <w:lang w:val="en-US"/>
        </w:rPr>
        <w:t xml:space="preserve">enough </w:t>
      </w:r>
      <w:r w:rsidRPr="008A6D61">
        <w:rPr>
          <w:lang w:val="en-US"/>
        </w:rPr>
        <w:t xml:space="preserve">details </w:t>
      </w:r>
      <w:r w:rsidR="00622C25" w:rsidRPr="008A6D61">
        <w:rPr>
          <w:lang w:val="en-US"/>
        </w:rPr>
        <w:t>for us to code or summarize information for all three aspects</w:t>
      </w:r>
      <w:r w:rsidRPr="008A6D61">
        <w:rPr>
          <w:lang w:val="en-US"/>
        </w:rPr>
        <w:t>.</w:t>
      </w:r>
    </w:p>
    <w:p w14:paraId="2AA58FC7" w14:textId="77777777" w:rsidR="00EA2784" w:rsidRPr="008A6D61" w:rsidRDefault="005D5C3F" w:rsidP="001F610A">
      <w:pPr>
        <w:pStyle w:val="Heading2"/>
      </w:pPr>
      <w:r w:rsidRPr="008A6D61">
        <w:t>Finding</w:t>
      </w:r>
      <w:r w:rsidR="00EA2784" w:rsidRPr="008A6D61">
        <w:t>s</w:t>
      </w:r>
    </w:p>
    <w:p w14:paraId="4C1242ED" w14:textId="4C39C720" w:rsidR="001171E4" w:rsidRPr="008A6D61" w:rsidRDefault="00981F17" w:rsidP="00EA2784">
      <w:pPr>
        <w:pStyle w:val="SL-FlLftSgl"/>
        <w:spacing w:after="290"/>
        <w:rPr>
          <w:lang w:val="en-US"/>
        </w:rPr>
      </w:pPr>
      <w:r w:rsidRPr="008A6D61">
        <w:rPr>
          <w:lang w:val="en-US"/>
        </w:rPr>
        <w:t>In this section, we present t</w:t>
      </w:r>
      <w:r w:rsidR="006D67F9" w:rsidRPr="008A6D61">
        <w:rPr>
          <w:lang w:val="en-US"/>
        </w:rPr>
        <w:t>he results of IDC’s analysis of the 28 states’ LEA determinations processes</w:t>
      </w:r>
      <w:r w:rsidRPr="008A6D61">
        <w:rPr>
          <w:lang w:val="en-US"/>
        </w:rPr>
        <w:t xml:space="preserve">. First, we present </w:t>
      </w:r>
      <w:r w:rsidR="006D67F9" w:rsidRPr="008A6D61">
        <w:rPr>
          <w:lang w:val="en-US"/>
        </w:rPr>
        <w:t>the data elements these states use</w:t>
      </w:r>
      <w:r w:rsidR="004E76DF" w:rsidRPr="008A6D61">
        <w:rPr>
          <w:lang w:val="en-US"/>
        </w:rPr>
        <w:t>d</w:t>
      </w:r>
      <w:r w:rsidR="006D67F9" w:rsidRPr="008A6D61">
        <w:rPr>
          <w:lang w:val="en-US"/>
        </w:rPr>
        <w:t xml:space="preserve"> for their LEA determinations</w:t>
      </w:r>
      <w:r w:rsidRPr="008A6D61">
        <w:rPr>
          <w:lang w:val="en-US"/>
        </w:rPr>
        <w:t xml:space="preserve">. Next, we describe </w:t>
      </w:r>
      <w:r w:rsidR="006D67F9" w:rsidRPr="008A6D61">
        <w:rPr>
          <w:lang w:val="en-US"/>
        </w:rPr>
        <w:t xml:space="preserve">the methodologies </w:t>
      </w:r>
      <w:r w:rsidRPr="008A6D61">
        <w:rPr>
          <w:lang w:val="en-US"/>
        </w:rPr>
        <w:t xml:space="preserve">states </w:t>
      </w:r>
      <w:r w:rsidR="006D67F9" w:rsidRPr="008A6D61">
        <w:rPr>
          <w:lang w:val="en-US"/>
        </w:rPr>
        <w:t>used to calculate LEA determinations</w:t>
      </w:r>
      <w:r w:rsidRPr="008A6D61">
        <w:rPr>
          <w:lang w:val="en-US"/>
        </w:rPr>
        <w:t>. Last, we discuss</w:t>
      </w:r>
      <w:r w:rsidR="006D67F9" w:rsidRPr="008A6D61">
        <w:rPr>
          <w:lang w:val="en-US"/>
        </w:rPr>
        <w:t xml:space="preserve"> the criteria </w:t>
      </w:r>
      <w:r w:rsidRPr="008A6D61">
        <w:rPr>
          <w:lang w:val="en-US"/>
        </w:rPr>
        <w:t xml:space="preserve">states </w:t>
      </w:r>
      <w:r w:rsidR="006D67F9" w:rsidRPr="008A6D61">
        <w:rPr>
          <w:lang w:val="en-US"/>
        </w:rPr>
        <w:t xml:space="preserve">used </w:t>
      </w:r>
      <w:r w:rsidRPr="008A6D61">
        <w:rPr>
          <w:lang w:val="en-US"/>
        </w:rPr>
        <w:t xml:space="preserve">to assign LEAs to the </w:t>
      </w:r>
      <w:r w:rsidR="004E76DF" w:rsidRPr="008A6D61">
        <w:rPr>
          <w:lang w:val="en-US"/>
        </w:rPr>
        <w:t>different determination categories</w:t>
      </w:r>
      <w:r w:rsidRPr="008A6D61">
        <w:rPr>
          <w:lang w:val="en-US"/>
        </w:rPr>
        <w:t>.</w:t>
      </w:r>
      <w:r w:rsidR="00E42F22" w:rsidRPr="008A6D61">
        <w:rPr>
          <w:lang w:val="en-US"/>
        </w:rPr>
        <w:t xml:space="preserve">  </w:t>
      </w:r>
      <w:r w:rsidR="001171E4" w:rsidRPr="008A6D61">
        <w:rPr>
          <w:lang w:val="en-US"/>
        </w:rPr>
        <w:t xml:space="preserve"> </w:t>
      </w:r>
    </w:p>
    <w:p w14:paraId="24164342" w14:textId="42EF897C" w:rsidR="00A56C04" w:rsidRPr="008A6D61" w:rsidRDefault="001C1428" w:rsidP="001F610A">
      <w:pPr>
        <w:pStyle w:val="Heading3"/>
        <w:rPr>
          <w:b/>
        </w:rPr>
      </w:pPr>
      <w:r w:rsidRPr="008A6D61">
        <w:t>What d</w:t>
      </w:r>
      <w:r w:rsidR="008767F9" w:rsidRPr="008A6D61">
        <w:t xml:space="preserve">ata </w:t>
      </w:r>
      <w:r w:rsidRPr="008A6D61">
        <w:t>e</w:t>
      </w:r>
      <w:r w:rsidR="008767F9" w:rsidRPr="008A6D61">
        <w:t>lements</w:t>
      </w:r>
      <w:r w:rsidRPr="008A6D61">
        <w:t xml:space="preserve"> </w:t>
      </w:r>
      <w:r w:rsidR="00AD5095" w:rsidRPr="008A6D61">
        <w:t>did</w:t>
      </w:r>
      <w:r w:rsidR="006D67F9" w:rsidRPr="008A6D61">
        <w:t xml:space="preserve"> states include in LEA determinations?</w:t>
      </w:r>
    </w:p>
    <w:p w14:paraId="6BA65A14" w14:textId="40847AA2" w:rsidR="005B70B7" w:rsidRPr="008A6D61" w:rsidRDefault="003078DF" w:rsidP="001F610A">
      <w:pPr>
        <w:pStyle w:val="SL-FlLftSgl"/>
        <w:rPr>
          <w:lang w:val="en-US"/>
        </w:rPr>
      </w:pPr>
      <w:r w:rsidRPr="008A6D61">
        <w:rPr>
          <w:lang w:val="en-US"/>
        </w:rPr>
        <w:t xml:space="preserve">When analyzing the data elements the 28 states </w:t>
      </w:r>
      <w:r w:rsidR="008347BB" w:rsidRPr="008A6D61">
        <w:rPr>
          <w:lang w:val="en-US"/>
        </w:rPr>
        <w:t xml:space="preserve">included </w:t>
      </w:r>
      <w:r w:rsidRPr="008A6D61">
        <w:rPr>
          <w:lang w:val="en-US"/>
        </w:rPr>
        <w:t xml:space="preserve">in LEA determinations, </w:t>
      </w:r>
      <w:r w:rsidR="005B70B7" w:rsidRPr="008A6D61">
        <w:rPr>
          <w:lang w:val="en-US"/>
        </w:rPr>
        <w:t xml:space="preserve">we grouped elements into three categories: compliance data, results SPP/APR indicators, and other data elements. </w:t>
      </w:r>
    </w:p>
    <w:p w14:paraId="12D97E1D" w14:textId="441BEFB6" w:rsidR="007E0F9A" w:rsidRPr="008A6D61" w:rsidRDefault="000126BA" w:rsidP="001F610A">
      <w:pPr>
        <w:pStyle w:val="SL-FlLftSgl"/>
        <w:rPr>
          <w:lang w:val="en-US"/>
        </w:rPr>
      </w:pPr>
      <w:r w:rsidRPr="008A6D61">
        <w:rPr>
          <w:lang w:val="en-US"/>
        </w:rPr>
        <w:t>The c</w:t>
      </w:r>
      <w:r w:rsidR="005B70B7" w:rsidRPr="008A6D61">
        <w:rPr>
          <w:lang w:val="en-US"/>
        </w:rPr>
        <w:t>ompliance data</w:t>
      </w:r>
      <w:r w:rsidRPr="008A6D61">
        <w:rPr>
          <w:lang w:val="en-US"/>
        </w:rPr>
        <w:t xml:space="preserve"> category</w:t>
      </w:r>
      <w:r w:rsidR="005B70B7" w:rsidRPr="008A6D61">
        <w:rPr>
          <w:lang w:val="en-US"/>
        </w:rPr>
        <w:t xml:space="preserve"> encompasses the SPP/APR compliance indicators (</w:t>
      </w:r>
      <w:r w:rsidR="00CE74FB" w:rsidRPr="008A6D61">
        <w:rPr>
          <w:lang w:val="en-US"/>
        </w:rPr>
        <w:t xml:space="preserve">Indicators </w:t>
      </w:r>
      <w:r w:rsidR="005B70B7" w:rsidRPr="008A6D61">
        <w:rPr>
          <w:lang w:val="en-US"/>
        </w:rPr>
        <w:t>4B, 9, 10, 11, 12, and 13),</w:t>
      </w:r>
      <w:r w:rsidR="00C2339C" w:rsidRPr="008A6D61">
        <w:rPr>
          <w:rStyle w:val="FootnoteReference"/>
          <w:color w:val="455A64"/>
          <w:lang w:val="en-US"/>
        </w:rPr>
        <w:footnoteReference w:id="2"/>
      </w:r>
      <w:r w:rsidR="005B70B7" w:rsidRPr="008A6D61">
        <w:rPr>
          <w:lang w:val="en-US"/>
        </w:rPr>
        <w:t xml:space="preserve"> measures of valid and reliable data, verification of correction of noncompliance</w:t>
      </w:r>
      <w:r w:rsidR="005067CF" w:rsidRPr="008A6D61">
        <w:rPr>
          <w:lang w:val="en-US"/>
        </w:rPr>
        <w:t xml:space="preserve">, and </w:t>
      </w:r>
      <w:r w:rsidR="00BA783C" w:rsidRPr="008A6D61">
        <w:rPr>
          <w:lang w:val="en-US"/>
        </w:rPr>
        <w:t xml:space="preserve">additional </w:t>
      </w:r>
      <w:r w:rsidR="005067CF" w:rsidRPr="008A6D61">
        <w:rPr>
          <w:lang w:val="en-US"/>
        </w:rPr>
        <w:t>data</w:t>
      </w:r>
      <w:r w:rsidR="004A48C0" w:rsidRPr="008A6D61">
        <w:rPr>
          <w:lang w:val="en-US"/>
        </w:rPr>
        <w:t>—</w:t>
      </w:r>
      <w:r w:rsidR="005067CF" w:rsidRPr="008A6D61">
        <w:rPr>
          <w:lang w:val="en-US"/>
        </w:rPr>
        <w:t>such as fiscal audit findings</w:t>
      </w:r>
      <w:r w:rsidR="004A48C0" w:rsidRPr="008A6D61">
        <w:rPr>
          <w:lang w:val="en-US"/>
        </w:rPr>
        <w:t>—</w:t>
      </w:r>
      <w:r w:rsidR="00050ACD" w:rsidRPr="008A6D61">
        <w:rPr>
          <w:lang w:val="en-US"/>
        </w:rPr>
        <w:t>that address compliance with IDEA</w:t>
      </w:r>
      <w:r w:rsidR="005B70B7" w:rsidRPr="008A6D61">
        <w:rPr>
          <w:lang w:val="en-US"/>
        </w:rPr>
        <w:t xml:space="preserve">. </w:t>
      </w:r>
      <w:r w:rsidR="005067CF" w:rsidRPr="008A6D61">
        <w:rPr>
          <w:lang w:val="en-US"/>
        </w:rPr>
        <w:t xml:space="preserve">As shared in the introduction, states must consider </w:t>
      </w:r>
      <w:r w:rsidR="00050ACD" w:rsidRPr="008A6D61">
        <w:rPr>
          <w:lang w:val="en-US"/>
        </w:rPr>
        <w:t xml:space="preserve">compliance data when making LEA determinations. We found 100 percent (n=28) of the states </w:t>
      </w:r>
      <w:r w:rsidR="00C54359" w:rsidRPr="008A6D61">
        <w:rPr>
          <w:lang w:val="en-US"/>
        </w:rPr>
        <w:t>included</w:t>
      </w:r>
      <w:r w:rsidR="00B96173" w:rsidRPr="008A6D61">
        <w:rPr>
          <w:lang w:val="en-US"/>
        </w:rPr>
        <w:t xml:space="preserve"> </w:t>
      </w:r>
      <w:r w:rsidR="00C54359" w:rsidRPr="008A6D61">
        <w:rPr>
          <w:lang w:val="en-US"/>
        </w:rPr>
        <w:t xml:space="preserve">one or more </w:t>
      </w:r>
      <w:r w:rsidR="00B96173" w:rsidRPr="008A6D61">
        <w:rPr>
          <w:lang w:val="en-US"/>
        </w:rPr>
        <w:t xml:space="preserve">type of </w:t>
      </w:r>
      <w:r w:rsidR="00050ACD" w:rsidRPr="008A6D61">
        <w:rPr>
          <w:lang w:val="en-US"/>
        </w:rPr>
        <w:t>compliance data in the</w:t>
      </w:r>
      <w:r w:rsidR="00B96173" w:rsidRPr="008A6D61">
        <w:rPr>
          <w:lang w:val="en-US"/>
        </w:rPr>
        <w:t>ir</w:t>
      </w:r>
      <w:r w:rsidR="00050ACD" w:rsidRPr="008A6D61">
        <w:rPr>
          <w:lang w:val="en-US"/>
        </w:rPr>
        <w:t xml:space="preserve"> LEA determinations. </w:t>
      </w:r>
      <w:r w:rsidR="00BA76ED" w:rsidRPr="008A6D61">
        <w:rPr>
          <w:lang w:val="en-US"/>
        </w:rPr>
        <w:t>Table</w:t>
      </w:r>
      <w:r w:rsidRPr="008A6D61">
        <w:rPr>
          <w:lang w:val="en-US"/>
        </w:rPr>
        <w:t xml:space="preserve"> 1 breaks down the compliance data states </w:t>
      </w:r>
      <w:r w:rsidR="008347BB" w:rsidRPr="008A6D61">
        <w:rPr>
          <w:lang w:val="en-US"/>
        </w:rPr>
        <w:t xml:space="preserve">used </w:t>
      </w:r>
      <w:r w:rsidRPr="008A6D61">
        <w:rPr>
          <w:lang w:val="en-US"/>
        </w:rPr>
        <w:t>in further detail.</w:t>
      </w:r>
      <w:r w:rsidR="005232AC" w:rsidRPr="008A6D61">
        <w:rPr>
          <w:lang w:val="en-US"/>
        </w:rPr>
        <w:t xml:space="preserve"> </w:t>
      </w:r>
    </w:p>
    <w:p w14:paraId="2733C2F6" w14:textId="614BA6D9" w:rsidR="001F610A" w:rsidRPr="008A6D61" w:rsidRDefault="001F610A" w:rsidP="002F46D3">
      <w:pPr>
        <w:pStyle w:val="TT-TableTitle"/>
        <w:rPr>
          <w:b/>
          <w:color w:val="01579B"/>
          <w:sz w:val="24"/>
          <w:szCs w:val="24"/>
        </w:rPr>
      </w:pPr>
      <w:r w:rsidRPr="008A6D61">
        <w:rPr>
          <w:b/>
          <w:color w:val="01579B"/>
          <w:sz w:val="24"/>
          <w:szCs w:val="24"/>
        </w:rPr>
        <w:t>Table 1.</w:t>
      </w:r>
      <w:r w:rsidR="00E42F22" w:rsidRPr="008A6D61">
        <w:rPr>
          <w:b/>
          <w:color w:val="01579B"/>
          <w:sz w:val="24"/>
          <w:szCs w:val="24"/>
        </w:rPr>
        <w:tab/>
      </w:r>
      <w:r w:rsidRPr="008A6D61">
        <w:rPr>
          <w:b/>
          <w:color w:val="01579B"/>
          <w:sz w:val="24"/>
          <w:szCs w:val="24"/>
        </w:rPr>
        <w:t>Percent and count of states using compliance data elements</w:t>
      </w:r>
    </w:p>
    <w:tbl>
      <w:tblPr>
        <w:tblStyle w:val="TableGrid"/>
        <w:tblW w:w="5000" w:type="pct"/>
        <w:jc w:val="center"/>
        <w:tblLook w:val="04A0" w:firstRow="1" w:lastRow="0" w:firstColumn="1" w:lastColumn="0" w:noHBand="0" w:noVBand="1"/>
      </w:tblPr>
      <w:tblGrid>
        <w:gridCol w:w="5242"/>
        <w:gridCol w:w="1991"/>
        <w:gridCol w:w="2097"/>
      </w:tblGrid>
      <w:tr w:rsidR="002F46D3" w:rsidRPr="008A6D61" w14:paraId="517414C5" w14:textId="77777777" w:rsidTr="00B17B12">
        <w:trPr>
          <w:cnfStyle w:val="000000100000" w:firstRow="0" w:lastRow="0" w:firstColumn="0" w:lastColumn="0" w:oddVBand="0" w:evenVBand="0" w:oddHBand="1" w:evenHBand="0" w:firstRowFirstColumn="0" w:firstRowLastColumn="0" w:lastRowFirstColumn="0" w:lastRowLastColumn="0"/>
          <w:jc w:val="center"/>
        </w:trPr>
        <w:tc>
          <w:tcPr>
            <w:tcW w:w="2809" w:type="pct"/>
            <w:tcBorders>
              <w:top w:val="single" w:sz="12" w:space="0" w:color="80ABCD"/>
              <w:left w:val="single" w:sz="12" w:space="0" w:color="80ABCD"/>
              <w:bottom w:val="single" w:sz="12" w:space="0" w:color="80ABCD"/>
              <w:right w:val="single" w:sz="12" w:space="0" w:color="80ABCD"/>
            </w:tcBorders>
            <w:shd w:val="clear" w:color="auto" w:fill="01579B"/>
          </w:tcPr>
          <w:p w14:paraId="41569428" w14:textId="00108705" w:rsidR="007E0F9A" w:rsidRPr="008A6D61" w:rsidRDefault="008347BB" w:rsidP="002F46D3">
            <w:pPr>
              <w:tabs>
                <w:tab w:val="left" w:pos="8190"/>
                <w:tab w:val="left" w:pos="8460"/>
              </w:tabs>
              <w:spacing w:before="80" w:after="80" w:line="300" w:lineRule="atLeast"/>
              <w:rPr>
                <w:rStyle w:val="Hyperlink"/>
                <w:rFonts w:cstheme="minorHAnsi"/>
                <w:b/>
                <w:bCs/>
                <w:color w:val="FFFFFF" w:themeColor="background1"/>
                <w:sz w:val="24"/>
                <w:u w:val="none"/>
              </w:rPr>
            </w:pPr>
            <w:r w:rsidRPr="008A6D61">
              <w:rPr>
                <w:rStyle w:val="Hyperlink"/>
                <w:rFonts w:cstheme="minorHAnsi"/>
                <w:b/>
                <w:bCs/>
                <w:color w:val="FFFFFF" w:themeColor="background1"/>
                <w:sz w:val="24"/>
                <w:u w:val="none"/>
              </w:rPr>
              <w:t>Compliance data elements</w:t>
            </w:r>
          </w:p>
        </w:tc>
        <w:tc>
          <w:tcPr>
            <w:tcW w:w="1067" w:type="pct"/>
            <w:tcBorders>
              <w:top w:val="single" w:sz="12" w:space="0" w:color="80ABCD"/>
              <w:left w:val="single" w:sz="12" w:space="0" w:color="80ABCD"/>
              <w:bottom w:val="single" w:sz="12" w:space="0" w:color="80ABCD"/>
              <w:right w:val="single" w:sz="12" w:space="0" w:color="80ABCD"/>
            </w:tcBorders>
            <w:shd w:val="clear" w:color="auto" w:fill="01579B"/>
          </w:tcPr>
          <w:p w14:paraId="317E8D16" w14:textId="7DD886F5" w:rsidR="007E0F9A" w:rsidRPr="008A6D61" w:rsidRDefault="008E5CFB" w:rsidP="002F46D3">
            <w:pPr>
              <w:tabs>
                <w:tab w:val="left" w:pos="8190"/>
                <w:tab w:val="left" w:pos="8460"/>
              </w:tabs>
              <w:spacing w:before="80" w:after="0" w:line="300" w:lineRule="atLeast"/>
              <w:rPr>
                <w:rStyle w:val="Hyperlink"/>
                <w:rFonts w:cstheme="minorHAnsi"/>
                <w:b/>
                <w:bCs/>
                <w:color w:val="FFFFFF" w:themeColor="background1"/>
                <w:sz w:val="24"/>
                <w:u w:val="none"/>
              </w:rPr>
            </w:pPr>
            <w:r w:rsidRPr="008A6D61">
              <w:rPr>
                <w:rStyle w:val="Hyperlink"/>
                <w:rFonts w:cstheme="minorHAnsi"/>
                <w:b/>
                <w:bCs/>
                <w:color w:val="FFFFFF" w:themeColor="background1"/>
                <w:sz w:val="24"/>
                <w:u w:val="none"/>
              </w:rPr>
              <w:t>Percent of s</w:t>
            </w:r>
            <w:r w:rsidR="007E0F9A" w:rsidRPr="008A6D61">
              <w:rPr>
                <w:rStyle w:val="Hyperlink"/>
                <w:rFonts w:cstheme="minorHAnsi"/>
                <w:b/>
                <w:bCs/>
                <w:color w:val="FFFFFF" w:themeColor="background1"/>
                <w:sz w:val="24"/>
                <w:u w:val="none"/>
              </w:rPr>
              <w:t>tates</w:t>
            </w:r>
          </w:p>
        </w:tc>
        <w:tc>
          <w:tcPr>
            <w:tcW w:w="1124" w:type="pct"/>
            <w:tcBorders>
              <w:top w:val="single" w:sz="12" w:space="0" w:color="80ABCD"/>
              <w:left w:val="single" w:sz="12" w:space="0" w:color="80ABCD"/>
              <w:bottom w:val="single" w:sz="12" w:space="0" w:color="80ABCD"/>
              <w:right w:val="single" w:sz="12" w:space="0" w:color="80ABCD"/>
            </w:tcBorders>
            <w:shd w:val="clear" w:color="auto" w:fill="01579B"/>
          </w:tcPr>
          <w:p w14:paraId="5EF75491" w14:textId="2BEFE14F" w:rsidR="007E0F9A" w:rsidRPr="008A6D61" w:rsidRDefault="007E0F9A" w:rsidP="002F46D3">
            <w:pPr>
              <w:tabs>
                <w:tab w:val="left" w:pos="8190"/>
                <w:tab w:val="left" w:pos="8460"/>
              </w:tabs>
              <w:spacing w:before="80" w:after="0" w:line="300" w:lineRule="atLeast"/>
              <w:rPr>
                <w:rStyle w:val="Hyperlink"/>
                <w:rFonts w:cstheme="minorHAnsi"/>
                <w:b/>
                <w:bCs/>
                <w:color w:val="FFFFFF" w:themeColor="background1"/>
                <w:sz w:val="24"/>
                <w:u w:val="none"/>
              </w:rPr>
            </w:pPr>
            <w:r w:rsidRPr="008A6D61">
              <w:rPr>
                <w:rStyle w:val="Hyperlink"/>
                <w:rFonts w:cstheme="minorHAnsi"/>
                <w:b/>
                <w:bCs/>
                <w:color w:val="FFFFFF" w:themeColor="background1"/>
                <w:sz w:val="24"/>
                <w:u w:val="none"/>
              </w:rPr>
              <w:t xml:space="preserve">Number of </w:t>
            </w:r>
            <w:r w:rsidR="008E5CFB" w:rsidRPr="008A6D61">
              <w:rPr>
                <w:rStyle w:val="Hyperlink"/>
                <w:rFonts w:cstheme="minorHAnsi"/>
                <w:b/>
                <w:bCs/>
                <w:color w:val="FFFFFF" w:themeColor="background1"/>
                <w:sz w:val="24"/>
                <w:u w:val="none"/>
              </w:rPr>
              <w:t>s</w:t>
            </w:r>
            <w:r w:rsidRPr="008A6D61">
              <w:rPr>
                <w:rStyle w:val="Hyperlink"/>
                <w:rFonts w:cstheme="minorHAnsi"/>
                <w:b/>
                <w:bCs/>
                <w:color w:val="FFFFFF" w:themeColor="background1"/>
                <w:sz w:val="24"/>
                <w:u w:val="none"/>
              </w:rPr>
              <w:t>tates</w:t>
            </w:r>
          </w:p>
        </w:tc>
      </w:tr>
      <w:tr w:rsidR="002F46D3" w:rsidRPr="008A6D61" w14:paraId="3D123DE3" w14:textId="77777777" w:rsidTr="00B17B12">
        <w:trPr>
          <w:cnfStyle w:val="000000010000" w:firstRow="0" w:lastRow="0" w:firstColumn="0" w:lastColumn="0" w:oddVBand="0" w:evenVBand="0" w:oddHBand="0" w:evenHBand="1" w:firstRowFirstColumn="0" w:firstRowLastColumn="0" w:lastRowFirstColumn="0" w:lastRowLastColumn="0"/>
          <w:trHeight w:val="20"/>
          <w:jc w:val="center"/>
        </w:trPr>
        <w:tc>
          <w:tcPr>
            <w:tcW w:w="2809" w:type="pct"/>
            <w:tcBorders>
              <w:top w:val="single" w:sz="12" w:space="0" w:color="80ABCD"/>
              <w:left w:val="single" w:sz="12" w:space="0" w:color="E0E6ED"/>
              <w:bottom w:val="nil"/>
              <w:right w:val="single" w:sz="12" w:space="0" w:color="E0E6ED"/>
            </w:tcBorders>
            <w:vAlign w:val="center"/>
          </w:tcPr>
          <w:p w14:paraId="6D4D9817" w14:textId="220B7A56" w:rsidR="007E0F9A" w:rsidRPr="008A6D61" w:rsidRDefault="007E0F9A" w:rsidP="002F46D3">
            <w:pPr>
              <w:tabs>
                <w:tab w:val="left" w:pos="8190"/>
                <w:tab w:val="left" w:pos="8460"/>
              </w:tabs>
              <w:spacing w:before="80" w:after="80" w:line="240" w:lineRule="atLeast"/>
              <w:rPr>
                <w:rStyle w:val="Hyperlink"/>
                <w:rFonts w:cstheme="minorHAnsi"/>
                <w:color w:val="000000" w:themeColor="text1"/>
                <w:szCs w:val="21"/>
                <w:u w:val="none"/>
              </w:rPr>
            </w:pPr>
            <w:r w:rsidRPr="008A6D61">
              <w:rPr>
                <w:rStyle w:val="Hyperlink"/>
                <w:rFonts w:cstheme="minorHAnsi"/>
                <w:color w:val="000000" w:themeColor="text1"/>
                <w:szCs w:val="21"/>
                <w:u w:val="none"/>
              </w:rPr>
              <w:t>SPP/APR compliance indicators</w:t>
            </w:r>
          </w:p>
        </w:tc>
        <w:tc>
          <w:tcPr>
            <w:tcW w:w="1067" w:type="pct"/>
            <w:tcBorders>
              <w:top w:val="single" w:sz="12" w:space="0" w:color="80ABCD"/>
              <w:left w:val="single" w:sz="12" w:space="0" w:color="E0E6ED"/>
              <w:bottom w:val="nil"/>
              <w:right w:val="single" w:sz="12" w:space="0" w:color="E0E6ED"/>
            </w:tcBorders>
            <w:vAlign w:val="center"/>
          </w:tcPr>
          <w:p w14:paraId="54D091FB" w14:textId="50A91828" w:rsidR="007E0F9A" w:rsidRPr="008A6D61" w:rsidRDefault="007E0F9A" w:rsidP="002F46D3">
            <w:pPr>
              <w:tabs>
                <w:tab w:val="left" w:pos="8190"/>
                <w:tab w:val="left" w:pos="8460"/>
              </w:tabs>
              <w:spacing w:before="80" w:after="80" w:line="240" w:lineRule="atLeast"/>
              <w:rPr>
                <w:rStyle w:val="Hyperlink"/>
                <w:rFonts w:cstheme="minorHAnsi"/>
                <w:color w:val="000000" w:themeColor="text1"/>
                <w:szCs w:val="21"/>
                <w:u w:val="none"/>
              </w:rPr>
            </w:pPr>
            <w:r w:rsidRPr="008A6D61">
              <w:rPr>
                <w:rStyle w:val="Hyperlink"/>
                <w:rFonts w:cstheme="minorHAnsi"/>
                <w:color w:val="000000" w:themeColor="text1"/>
                <w:szCs w:val="21"/>
                <w:u w:val="none"/>
              </w:rPr>
              <w:t>100 percent</w:t>
            </w:r>
          </w:p>
        </w:tc>
        <w:tc>
          <w:tcPr>
            <w:tcW w:w="1124" w:type="pct"/>
            <w:tcBorders>
              <w:top w:val="single" w:sz="12" w:space="0" w:color="80ABCD"/>
              <w:left w:val="single" w:sz="12" w:space="0" w:color="E0E6ED"/>
              <w:bottom w:val="nil"/>
              <w:right w:val="single" w:sz="12" w:space="0" w:color="E0E6ED"/>
            </w:tcBorders>
            <w:vAlign w:val="center"/>
          </w:tcPr>
          <w:p w14:paraId="607D2C1D" w14:textId="30CD5B42" w:rsidR="007E0F9A" w:rsidRPr="008A6D61" w:rsidRDefault="007E0F9A" w:rsidP="002F46D3">
            <w:pPr>
              <w:tabs>
                <w:tab w:val="left" w:pos="8190"/>
                <w:tab w:val="left" w:pos="8460"/>
              </w:tabs>
              <w:spacing w:before="80" w:after="80" w:line="240" w:lineRule="atLeast"/>
              <w:rPr>
                <w:rStyle w:val="Hyperlink"/>
                <w:rFonts w:cstheme="minorHAnsi"/>
                <w:color w:val="000000" w:themeColor="text1"/>
                <w:szCs w:val="21"/>
                <w:u w:val="none"/>
              </w:rPr>
            </w:pPr>
            <w:r w:rsidRPr="008A6D61">
              <w:rPr>
                <w:rStyle w:val="Hyperlink"/>
                <w:rFonts w:cstheme="minorHAnsi"/>
                <w:color w:val="000000" w:themeColor="text1"/>
                <w:szCs w:val="21"/>
                <w:u w:val="none"/>
              </w:rPr>
              <w:t>28</w:t>
            </w:r>
            <w:r w:rsidRPr="008A6D61">
              <w:rPr>
                <w:rStyle w:val="FootnoteReference"/>
                <w:rFonts w:asciiTheme="minorHAnsi" w:hAnsiTheme="minorHAnsi" w:cstheme="minorHAnsi"/>
                <w:color w:val="000000" w:themeColor="text1"/>
                <w:sz w:val="21"/>
                <w:szCs w:val="21"/>
              </w:rPr>
              <w:footnoteReference w:id="3"/>
            </w:r>
          </w:p>
        </w:tc>
      </w:tr>
      <w:tr w:rsidR="002F46D3" w:rsidRPr="008A6D61" w14:paraId="24E2F075" w14:textId="77777777" w:rsidTr="002F46D3">
        <w:trPr>
          <w:cnfStyle w:val="000000100000" w:firstRow="0" w:lastRow="0" w:firstColumn="0" w:lastColumn="0" w:oddVBand="0" w:evenVBand="0" w:oddHBand="1" w:evenHBand="0" w:firstRowFirstColumn="0" w:firstRowLastColumn="0" w:lastRowFirstColumn="0" w:lastRowLastColumn="0"/>
          <w:trHeight w:val="20"/>
          <w:jc w:val="center"/>
        </w:trPr>
        <w:tc>
          <w:tcPr>
            <w:tcW w:w="2809" w:type="pct"/>
            <w:tcBorders>
              <w:top w:val="nil"/>
              <w:left w:val="single" w:sz="12" w:space="0" w:color="E0E6ED"/>
              <w:bottom w:val="nil"/>
              <w:right w:val="single" w:sz="12" w:space="0" w:color="E0E6ED"/>
            </w:tcBorders>
            <w:shd w:val="clear" w:color="auto" w:fill="EDF0FA"/>
            <w:vAlign w:val="center"/>
          </w:tcPr>
          <w:p w14:paraId="7FDCEFC6" w14:textId="67810F8B" w:rsidR="007E0F9A" w:rsidRPr="008A6D61" w:rsidRDefault="007E0F9A" w:rsidP="002F46D3">
            <w:pPr>
              <w:tabs>
                <w:tab w:val="left" w:pos="8190"/>
                <w:tab w:val="left" w:pos="8460"/>
              </w:tabs>
              <w:spacing w:before="80" w:after="80" w:line="240" w:lineRule="atLeast"/>
              <w:rPr>
                <w:rStyle w:val="Hyperlink"/>
                <w:rFonts w:cstheme="minorHAnsi"/>
                <w:color w:val="000000" w:themeColor="text1"/>
                <w:szCs w:val="21"/>
                <w:u w:val="none"/>
              </w:rPr>
            </w:pPr>
            <w:r w:rsidRPr="008A6D61">
              <w:rPr>
                <w:rStyle w:val="Hyperlink"/>
                <w:rFonts w:cstheme="minorHAnsi"/>
                <w:color w:val="000000" w:themeColor="text1"/>
                <w:szCs w:val="21"/>
                <w:u w:val="none"/>
              </w:rPr>
              <w:t>Measure</w:t>
            </w:r>
            <w:r w:rsidR="008347BB" w:rsidRPr="008A6D61">
              <w:rPr>
                <w:rStyle w:val="Hyperlink"/>
                <w:rFonts w:cstheme="minorHAnsi"/>
                <w:color w:val="000000" w:themeColor="text1"/>
                <w:szCs w:val="21"/>
                <w:u w:val="none"/>
              </w:rPr>
              <w:t>(s)</w:t>
            </w:r>
            <w:r w:rsidRPr="008A6D61">
              <w:rPr>
                <w:rStyle w:val="Hyperlink"/>
                <w:rFonts w:cstheme="minorHAnsi"/>
                <w:color w:val="000000" w:themeColor="text1"/>
                <w:szCs w:val="21"/>
                <w:u w:val="none"/>
              </w:rPr>
              <w:t xml:space="preserve"> of valid and reliable data</w:t>
            </w:r>
          </w:p>
        </w:tc>
        <w:tc>
          <w:tcPr>
            <w:tcW w:w="1067" w:type="pct"/>
            <w:tcBorders>
              <w:top w:val="nil"/>
              <w:left w:val="single" w:sz="12" w:space="0" w:color="E0E6ED"/>
              <w:bottom w:val="nil"/>
              <w:right w:val="single" w:sz="12" w:space="0" w:color="E0E6ED"/>
            </w:tcBorders>
            <w:shd w:val="clear" w:color="auto" w:fill="EDF0FA"/>
            <w:vAlign w:val="center"/>
          </w:tcPr>
          <w:p w14:paraId="59E7759D" w14:textId="51DCD023" w:rsidR="007E0F9A" w:rsidRPr="008A6D61" w:rsidRDefault="007E0F9A" w:rsidP="002F46D3">
            <w:pPr>
              <w:tabs>
                <w:tab w:val="left" w:pos="8190"/>
                <w:tab w:val="left" w:pos="8460"/>
              </w:tabs>
              <w:spacing w:before="80" w:after="80" w:line="240" w:lineRule="atLeast"/>
              <w:rPr>
                <w:rStyle w:val="Hyperlink"/>
                <w:rFonts w:cstheme="minorHAnsi"/>
                <w:color w:val="000000" w:themeColor="text1"/>
                <w:szCs w:val="21"/>
                <w:u w:val="none"/>
              </w:rPr>
            </w:pPr>
            <w:r w:rsidRPr="008A6D61">
              <w:rPr>
                <w:rStyle w:val="Hyperlink"/>
                <w:rFonts w:cstheme="minorHAnsi"/>
                <w:color w:val="000000" w:themeColor="text1"/>
                <w:szCs w:val="21"/>
                <w:u w:val="none"/>
              </w:rPr>
              <w:t>67.9 percent</w:t>
            </w:r>
          </w:p>
        </w:tc>
        <w:tc>
          <w:tcPr>
            <w:tcW w:w="1124" w:type="pct"/>
            <w:tcBorders>
              <w:top w:val="nil"/>
              <w:left w:val="single" w:sz="12" w:space="0" w:color="E0E6ED"/>
              <w:bottom w:val="nil"/>
              <w:right w:val="single" w:sz="12" w:space="0" w:color="E0E6ED"/>
            </w:tcBorders>
            <w:shd w:val="clear" w:color="auto" w:fill="EDF0FA"/>
            <w:vAlign w:val="center"/>
          </w:tcPr>
          <w:p w14:paraId="1F97FD73" w14:textId="1AFDAF3A" w:rsidR="007E0F9A" w:rsidRPr="008A6D61" w:rsidRDefault="007E0F9A" w:rsidP="002F46D3">
            <w:pPr>
              <w:tabs>
                <w:tab w:val="left" w:pos="8190"/>
                <w:tab w:val="left" w:pos="8460"/>
              </w:tabs>
              <w:spacing w:before="80" w:after="80" w:line="240" w:lineRule="atLeast"/>
              <w:rPr>
                <w:rStyle w:val="Hyperlink"/>
                <w:rFonts w:cstheme="minorHAnsi"/>
                <w:color w:val="000000" w:themeColor="text1"/>
                <w:szCs w:val="21"/>
                <w:u w:val="none"/>
              </w:rPr>
            </w:pPr>
            <w:r w:rsidRPr="008A6D61">
              <w:rPr>
                <w:rStyle w:val="Hyperlink"/>
                <w:rFonts w:cstheme="minorHAnsi"/>
                <w:color w:val="000000" w:themeColor="text1"/>
                <w:szCs w:val="21"/>
                <w:u w:val="none"/>
              </w:rPr>
              <w:t>19</w:t>
            </w:r>
          </w:p>
        </w:tc>
      </w:tr>
      <w:tr w:rsidR="002F46D3" w:rsidRPr="008A6D61" w14:paraId="31A2A391" w14:textId="77777777" w:rsidTr="002F46D3">
        <w:trPr>
          <w:cnfStyle w:val="000000010000" w:firstRow="0" w:lastRow="0" w:firstColumn="0" w:lastColumn="0" w:oddVBand="0" w:evenVBand="0" w:oddHBand="0" w:evenHBand="1" w:firstRowFirstColumn="0" w:firstRowLastColumn="0" w:lastRowFirstColumn="0" w:lastRowLastColumn="0"/>
          <w:trHeight w:val="20"/>
          <w:jc w:val="center"/>
        </w:trPr>
        <w:tc>
          <w:tcPr>
            <w:tcW w:w="2809" w:type="pct"/>
            <w:tcBorders>
              <w:top w:val="nil"/>
              <w:left w:val="single" w:sz="12" w:space="0" w:color="E0E6ED"/>
              <w:bottom w:val="nil"/>
              <w:right w:val="single" w:sz="12" w:space="0" w:color="E0E6ED"/>
            </w:tcBorders>
            <w:vAlign w:val="center"/>
          </w:tcPr>
          <w:p w14:paraId="62150E91" w14:textId="71E6718B" w:rsidR="007E0F9A" w:rsidRPr="008A6D61" w:rsidRDefault="007E0F9A" w:rsidP="002F46D3">
            <w:pPr>
              <w:tabs>
                <w:tab w:val="left" w:pos="8190"/>
                <w:tab w:val="left" w:pos="8460"/>
              </w:tabs>
              <w:spacing w:before="80" w:after="80" w:line="240" w:lineRule="atLeast"/>
              <w:rPr>
                <w:rStyle w:val="Hyperlink"/>
                <w:rFonts w:cstheme="minorHAnsi"/>
                <w:color w:val="000000" w:themeColor="text1"/>
                <w:szCs w:val="21"/>
                <w:u w:val="none"/>
              </w:rPr>
            </w:pPr>
            <w:r w:rsidRPr="008A6D61">
              <w:rPr>
                <w:rStyle w:val="Hyperlink"/>
                <w:rFonts w:cstheme="minorHAnsi"/>
                <w:color w:val="000000" w:themeColor="text1"/>
                <w:szCs w:val="21"/>
                <w:u w:val="none"/>
              </w:rPr>
              <w:t>Verification of correction of noncompliance</w:t>
            </w:r>
          </w:p>
        </w:tc>
        <w:tc>
          <w:tcPr>
            <w:tcW w:w="1067" w:type="pct"/>
            <w:tcBorders>
              <w:top w:val="nil"/>
              <w:left w:val="single" w:sz="12" w:space="0" w:color="E0E6ED"/>
              <w:bottom w:val="nil"/>
              <w:right w:val="single" w:sz="12" w:space="0" w:color="E0E6ED"/>
            </w:tcBorders>
            <w:vAlign w:val="center"/>
          </w:tcPr>
          <w:p w14:paraId="5CDCCD6E" w14:textId="56268865" w:rsidR="007E0F9A" w:rsidRPr="008A6D61" w:rsidRDefault="007E0F9A" w:rsidP="002F46D3">
            <w:pPr>
              <w:tabs>
                <w:tab w:val="left" w:pos="8190"/>
                <w:tab w:val="left" w:pos="8460"/>
              </w:tabs>
              <w:spacing w:before="80" w:after="80" w:line="240" w:lineRule="atLeast"/>
              <w:rPr>
                <w:rStyle w:val="Hyperlink"/>
                <w:rFonts w:cstheme="minorHAnsi"/>
                <w:color w:val="000000" w:themeColor="text1"/>
                <w:szCs w:val="21"/>
                <w:u w:val="none"/>
              </w:rPr>
            </w:pPr>
            <w:r w:rsidRPr="008A6D61">
              <w:rPr>
                <w:rStyle w:val="Hyperlink"/>
                <w:rFonts w:cstheme="minorHAnsi"/>
                <w:color w:val="000000" w:themeColor="text1"/>
                <w:szCs w:val="21"/>
                <w:u w:val="none"/>
              </w:rPr>
              <w:t>75 percent</w:t>
            </w:r>
          </w:p>
        </w:tc>
        <w:tc>
          <w:tcPr>
            <w:tcW w:w="1124" w:type="pct"/>
            <w:tcBorders>
              <w:top w:val="nil"/>
              <w:left w:val="single" w:sz="12" w:space="0" w:color="E0E6ED"/>
              <w:bottom w:val="nil"/>
              <w:right w:val="single" w:sz="12" w:space="0" w:color="E0E6ED"/>
            </w:tcBorders>
            <w:vAlign w:val="center"/>
          </w:tcPr>
          <w:p w14:paraId="1DC1DF5D" w14:textId="2AFA9FF7" w:rsidR="007E0F9A" w:rsidRPr="008A6D61" w:rsidRDefault="007E0F9A" w:rsidP="002F46D3">
            <w:pPr>
              <w:tabs>
                <w:tab w:val="left" w:pos="8190"/>
                <w:tab w:val="left" w:pos="8460"/>
              </w:tabs>
              <w:spacing w:before="80" w:after="80" w:line="240" w:lineRule="atLeast"/>
              <w:rPr>
                <w:rStyle w:val="Hyperlink"/>
                <w:rFonts w:cstheme="minorHAnsi"/>
                <w:color w:val="000000" w:themeColor="text1"/>
                <w:szCs w:val="21"/>
                <w:u w:val="none"/>
              </w:rPr>
            </w:pPr>
            <w:r w:rsidRPr="008A6D61">
              <w:rPr>
                <w:rStyle w:val="Hyperlink"/>
                <w:rFonts w:cstheme="minorHAnsi"/>
                <w:color w:val="000000" w:themeColor="text1"/>
                <w:szCs w:val="21"/>
                <w:u w:val="none"/>
              </w:rPr>
              <w:t>21</w:t>
            </w:r>
          </w:p>
        </w:tc>
      </w:tr>
      <w:tr w:rsidR="002F46D3" w:rsidRPr="008A6D61" w14:paraId="6725F434" w14:textId="77777777" w:rsidTr="002F46D3">
        <w:trPr>
          <w:cnfStyle w:val="000000100000" w:firstRow="0" w:lastRow="0" w:firstColumn="0" w:lastColumn="0" w:oddVBand="0" w:evenVBand="0" w:oddHBand="1" w:evenHBand="0" w:firstRowFirstColumn="0" w:firstRowLastColumn="0" w:lastRowFirstColumn="0" w:lastRowLastColumn="0"/>
          <w:trHeight w:val="20"/>
          <w:jc w:val="center"/>
        </w:trPr>
        <w:tc>
          <w:tcPr>
            <w:tcW w:w="2809" w:type="pct"/>
            <w:tcBorders>
              <w:top w:val="nil"/>
              <w:left w:val="single" w:sz="12" w:space="0" w:color="E0E6ED"/>
              <w:bottom w:val="single" w:sz="12" w:space="0" w:color="E0E6ED"/>
              <w:right w:val="single" w:sz="12" w:space="0" w:color="E0E6ED"/>
            </w:tcBorders>
            <w:shd w:val="clear" w:color="auto" w:fill="EDF0FA"/>
            <w:vAlign w:val="center"/>
          </w:tcPr>
          <w:p w14:paraId="1E6726A3" w14:textId="36C79600" w:rsidR="007E0F9A" w:rsidRPr="008A6D61" w:rsidRDefault="007E0F9A" w:rsidP="002F46D3">
            <w:pPr>
              <w:tabs>
                <w:tab w:val="left" w:pos="8190"/>
                <w:tab w:val="left" w:pos="8460"/>
              </w:tabs>
              <w:spacing w:before="80" w:after="80" w:line="240" w:lineRule="atLeast"/>
              <w:rPr>
                <w:rStyle w:val="Hyperlink"/>
                <w:rFonts w:cstheme="minorHAnsi"/>
                <w:color w:val="000000" w:themeColor="text1"/>
                <w:szCs w:val="21"/>
                <w:u w:val="none"/>
              </w:rPr>
            </w:pPr>
            <w:r w:rsidRPr="008A6D61">
              <w:rPr>
                <w:rStyle w:val="Hyperlink"/>
                <w:rFonts w:cstheme="minorHAnsi"/>
                <w:color w:val="000000" w:themeColor="text1"/>
                <w:szCs w:val="21"/>
                <w:u w:val="none"/>
              </w:rPr>
              <w:t xml:space="preserve">Fiscal </w:t>
            </w:r>
            <w:r w:rsidR="00F44BF4" w:rsidRPr="008A6D61">
              <w:rPr>
                <w:rStyle w:val="Hyperlink"/>
                <w:rFonts w:cstheme="minorHAnsi"/>
                <w:color w:val="000000" w:themeColor="text1"/>
                <w:szCs w:val="21"/>
                <w:u w:val="none"/>
              </w:rPr>
              <w:t>audit findings</w:t>
            </w:r>
          </w:p>
        </w:tc>
        <w:tc>
          <w:tcPr>
            <w:tcW w:w="1067" w:type="pct"/>
            <w:tcBorders>
              <w:top w:val="nil"/>
              <w:left w:val="single" w:sz="12" w:space="0" w:color="E0E6ED"/>
              <w:bottom w:val="single" w:sz="12" w:space="0" w:color="E0E6ED"/>
              <w:right w:val="single" w:sz="12" w:space="0" w:color="E0E6ED"/>
            </w:tcBorders>
            <w:shd w:val="clear" w:color="auto" w:fill="EDF0FA"/>
            <w:vAlign w:val="center"/>
          </w:tcPr>
          <w:p w14:paraId="76420BE9" w14:textId="601F4100" w:rsidR="007E0F9A" w:rsidRPr="008A6D61" w:rsidRDefault="00F44BF4" w:rsidP="002F46D3">
            <w:pPr>
              <w:tabs>
                <w:tab w:val="left" w:pos="8190"/>
                <w:tab w:val="left" w:pos="8460"/>
              </w:tabs>
              <w:spacing w:before="80" w:after="80" w:line="240" w:lineRule="atLeast"/>
              <w:rPr>
                <w:rStyle w:val="Hyperlink"/>
                <w:rFonts w:cstheme="minorHAnsi"/>
                <w:color w:val="000000" w:themeColor="text1"/>
                <w:szCs w:val="21"/>
                <w:u w:val="none"/>
              </w:rPr>
            </w:pPr>
            <w:r w:rsidRPr="008A6D61">
              <w:rPr>
                <w:rStyle w:val="Hyperlink"/>
                <w:rFonts w:cstheme="minorHAnsi"/>
                <w:color w:val="000000" w:themeColor="text1"/>
                <w:szCs w:val="21"/>
                <w:u w:val="none"/>
              </w:rPr>
              <w:t>32.1 percent</w:t>
            </w:r>
          </w:p>
        </w:tc>
        <w:tc>
          <w:tcPr>
            <w:tcW w:w="1124" w:type="pct"/>
            <w:tcBorders>
              <w:top w:val="nil"/>
              <w:left w:val="single" w:sz="12" w:space="0" w:color="E0E6ED"/>
              <w:bottom w:val="single" w:sz="12" w:space="0" w:color="E0E6ED"/>
              <w:right w:val="single" w:sz="12" w:space="0" w:color="E0E6ED"/>
            </w:tcBorders>
            <w:shd w:val="clear" w:color="auto" w:fill="EDF0FA"/>
            <w:vAlign w:val="center"/>
          </w:tcPr>
          <w:p w14:paraId="5ECFDB89" w14:textId="2A0D9556" w:rsidR="007E0F9A" w:rsidRPr="008A6D61" w:rsidRDefault="00F44BF4" w:rsidP="002F46D3">
            <w:pPr>
              <w:tabs>
                <w:tab w:val="left" w:pos="8190"/>
                <w:tab w:val="left" w:pos="8460"/>
              </w:tabs>
              <w:spacing w:before="80" w:after="80" w:line="240" w:lineRule="atLeast"/>
              <w:rPr>
                <w:rStyle w:val="Hyperlink"/>
                <w:rFonts w:cstheme="minorHAnsi"/>
                <w:color w:val="000000" w:themeColor="text1"/>
                <w:szCs w:val="21"/>
                <w:u w:val="none"/>
              </w:rPr>
            </w:pPr>
            <w:r w:rsidRPr="008A6D61">
              <w:rPr>
                <w:rStyle w:val="Hyperlink"/>
                <w:rFonts w:cstheme="minorHAnsi"/>
                <w:color w:val="000000" w:themeColor="text1"/>
                <w:szCs w:val="21"/>
                <w:u w:val="none"/>
              </w:rPr>
              <w:t>9</w:t>
            </w:r>
          </w:p>
        </w:tc>
      </w:tr>
    </w:tbl>
    <w:p w14:paraId="12076E21" w14:textId="6E95F0CE" w:rsidR="00B856BD" w:rsidRPr="008A6D61" w:rsidRDefault="00C54359" w:rsidP="002F46D3">
      <w:pPr>
        <w:pStyle w:val="SL-FlLftSgl"/>
        <w:spacing w:before="180"/>
        <w:rPr>
          <w:lang w:val="en-US"/>
        </w:rPr>
      </w:pPr>
      <w:r w:rsidRPr="008A6D61">
        <w:rPr>
          <w:lang w:val="en-US"/>
        </w:rPr>
        <w:t xml:space="preserve">While not required, the majority of the 28 states (53.6%, n=15) also included one or more </w:t>
      </w:r>
      <w:r w:rsidR="00D53642" w:rsidRPr="008A6D61">
        <w:rPr>
          <w:lang w:val="en-US"/>
        </w:rPr>
        <w:t>SPP/APR</w:t>
      </w:r>
      <w:r w:rsidRPr="008A6D61">
        <w:rPr>
          <w:lang w:val="en-US"/>
        </w:rPr>
        <w:t xml:space="preserve"> result</w:t>
      </w:r>
      <w:r w:rsidR="00D53642" w:rsidRPr="008A6D61">
        <w:rPr>
          <w:lang w:val="en-US"/>
        </w:rPr>
        <w:t xml:space="preserve"> indicators (</w:t>
      </w:r>
      <w:r w:rsidR="00CE74FB" w:rsidRPr="008A6D61">
        <w:rPr>
          <w:lang w:val="en-US"/>
        </w:rPr>
        <w:t xml:space="preserve">Indicators </w:t>
      </w:r>
      <w:r w:rsidR="00D53642" w:rsidRPr="008A6D61">
        <w:rPr>
          <w:lang w:val="en-US"/>
        </w:rPr>
        <w:t>1, 2, 3, 4A, 5, 6,</w:t>
      </w:r>
      <w:r w:rsidR="00DF68B6" w:rsidRPr="008A6D61">
        <w:rPr>
          <w:lang w:val="en-US"/>
        </w:rPr>
        <w:t xml:space="preserve"> </w:t>
      </w:r>
      <w:r w:rsidR="00D53642" w:rsidRPr="008A6D61">
        <w:rPr>
          <w:lang w:val="en-US"/>
        </w:rPr>
        <w:t>7, 8, 14, 15, and 16)</w:t>
      </w:r>
      <w:r w:rsidR="00203879" w:rsidRPr="008A6D61">
        <w:rPr>
          <w:rStyle w:val="FootnoteReference"/>
          <w:color w:val="455A64"/>
          <w:lang w:val="en-US"/>
        </w:rPr>
        <w:footnoteReference w:id="4"/>
      </w:r>
      <w:r w:rsidR="00D53642" w:rsidRPr="008A6D61">
        <w:rPr>
          <w:lang w:val="en-US"/>
        </w:rPr>
        <w:t xml:space="preserve"> in</w:t>
      </w:r>
      <w:r w:rsidRPr="008A6D61">
        <w:rPr>
          <w:lang w:val="en-US"/>
        </w:rPr>
        <w:t xml:space="preserve"> their </w:t>
      </w:r>
      <w:r w:rsidR="00D53642" w:rsidRPr="008A6D61">
        <w:rPr>
          <w:lang w:val="en-US"/>
        </w:rPr>
        <w:t xml:space="preserve">LEA </w:t>
      </w:r>
      <w:r w:rsidR="00D008C1" w:rsidRPr="008A6D61">
        <w:rPr>
          <w:lang w:val="en-US"/>
        </w:rPr>
        <w:t>determinations</w:t>
      </w:r>
      <w:r w:rsidR="00D53642" w:rsidRPr="008A6D61">
        <w:rPr>
          <w:lang w:val="en-US"/>
        </w:rPr>
        <w:t>.</w:t>
      </w:r>
      <w:r w:rsidR="00D008C1" w:rsidRPr="008A6D61">
        <w:rPr>
          <w:lang w:val="en-US"/>
        </w:rPr>
        <w:t xml:space="preserve"> The most commonly </w:t>
      </w:r>
      <w:r w:rsidR="00D008C1" w:rsidRPr="008A6D61">
        <w:rPr>
          <w:lang w:val="en-US"/>
        </w:rPr>
        <w:lastRenderedPageBreak/>
        <w:t>used SPP/APR</w:t>
      </w:r>
      <w:r w:rsidR="00F716B5" w:rsidRPr="008A6D61">
        <w:rPr>
          <w:lang w:val="en-US"/>
        </w:rPr>
        <w:t xml:space="preserve"> results</w:t>
      </w:r>
      <w:r w:rsidR="00D008C1" w:rsidRPr="008A6D61">
        <w:rPr>
          <w:lang w:val="en-US"/>
        </w:rPr>
        <w:t xml:space="preserve"> </w:t>
      </w:r>
      <w:r w:rsidR="00CE74FB" w:rsidRPr="008A6D61">
        <w:rPr>
          <w:lang w:val="en-US"/>
        </w:rPr>
        <w:t xml:space="preserve">indicators </w:t>
      </w:r>
      <w:r w:rsidRPr="008A6D61">
        <w:rPr>
          <w:lang w:val="en-US"/>
        </w:rPr>
        <w:t>that</w:t>
      </w:r>
      <w:r w:rsidR="00D008C1" w:rsidRPr="008A6D61">
        <w:rPr>
          <w:lang w:val="en-US"/>
        </w:rPr>
        <w:t xml:space="preserve"> </w:t>
      </w:r>
      <w:r w:rsidRPr="008A6D61">
        <w:rPr>
          <w:lang w:val="en-US"/>
        </w:rPr>
        <w:t xml:space="preserve">states included </w:t>
      </w:r>
      <w:r w:rsidR="00D008C1" w:rsidRPr="008A6D61">
        <w:rPr>
          <w:lang w:val="en-US"/>
        </w:rPr>
        <w:t xml:space="preserve">were </w:t>
      </w:r>
      <w:r w:rsidR="00CE74FB" w:rsidRPr="008A6D61">
        <w:rPr>
          <w:lang w:val="en-US"/>
        </w:rPr>
        <w:t xml:space="preserve">Indicators </w:t>
      </w:r>
      <w:r w:rsidR="00D008C1" w:rsidRPr="008A6D61">
        <w:rPr>
          <w:lang w:val="en-US"/>
        </w:rPr>
        <w:t>1, 2, 3B,</w:t>
      </w:r>
      <w:r w:rsidR="00B1116B" w:rsidRPr="008A6D61">
        <w:rPr>
          <w:rStyle w:val="FootnoteReference"/>
          <w:lang w:val="en-US"/>
        </w:rPr>
        <w:footnoteReference w:id="5"/>
      </w:r>
      <w:r w:rsidR="00D008C1" w:rsidRPr="008A6D61">
        <w:rPr>
          <w:lang w:val="en-US"/>
        </w:rPr>
        <w:t xml:space="preserve"> and 3C.</w:t>
      </w:r>
      <w:r w:rsidR="00FF217F" w:rsidRPr="008A6D61">
        <w:rPr>
          <w:rStyle w:val="FootnoteReference"/>
          <w:lang w:val="en-US"/>
        </w:rPr>
        <w:footnoteReference w:id="6"/>
      </w:r>
      <w:r w:rsidR="00D008C1" w:rsidRPr="008A6D61">
        <w:rPr>
          <w:lang w:val="en-US"/>
        </w:rPr>
        <w:t xml:space="preserve"> Figure </w:t>
      </w:r>
      <w:r w:rsidR="00BA76ED" w:rsidRPr="008A6D61">
        <w:rPr>
          <w:lang w:val="en-US"/>
        </w:rPr>
        <w:t>1</w:t>
      </w:r>
      <w:r w:rsidR="00D008C1" w:rsidRPr="008A6D61">
        <w:rPr>
          <w:lang w:val="en-US"/>
        </w:rPr>
        <w:t xml:space="preserve"> provides a detailed breakdown of the total number of states using</w:t>
      </w:r>
      <w:r w:rsidR="00F716B5" w:rsidRPr="008A6D61">
        <w:rPr>
          <w:lang w:val="en-US"/>
        </w:rPr>
        <w:t xml:space="preserve"> each of the</w:t>
      </w:r>
      <w:r w:rsidR="00D008C1" w:rsidRPr="008A6D61">
        <w:rPr>
          <w:lang w:val="en-US"/>
        </w:rPr>
        <w:t xml:space="preserve"> SPP/APR results indicators. </w:t>
      </w:r>
    </w:p>
    <w:p w14:paraId="30CBBFDF" w14:textId="69576EC8" w:rsidR="001F610A" w:rsidRPr="008A6D61" w:rsidRDefault="001F610A" w:rsidP="002F46D3">
      <w:pPr>
        <w:pStyle w:val="TT-TableTitle"/>
        <w:rPr>
          <w:b/>
          <w:color w:val="01579B"/>
          <w:sz w:val="24"/>
          <w:szCs w:val="24"/>
        </w:rPr>
      </w:pPr>
      <w:r w:rsidRPr="008A6D61">
        <w:rPr>
          <w:b/>
          <w:color w:val="01579B"/>
          <w:sz w:val="24"/>
          <w:szCs w:val="24"/>
        </w:rPr>
        <w:t>Figure 1.</w:t>
      </w:r>
      <w:r w:rsidR="002F46D3" w:rsidRPr="008A6D61">
        <w:rPr>
          <w:b/>
          <w:color w:val="01579B"/>
          <w:sz w:val="24"/>
          <w:szCs w:val="24"/>
        </w:rPr>
        <w:tab/>
      </w:r>
      <w:r w:rsidRPr="008A6D61">
        <w:rPr>
          <w:b/>
          <w:color w:val="01579B"/>
          <w:sz w:val="24"/>
          <w:szCs w:val="24"/>
        </w:rPr>
        <w:t>Count of states that used SPP/APR results indicators in LEA determinations, by</w:t>
      </w:r>
      <w:r w:rsidR="002F46D3" w:rsidRPr="008A6D61">
        <w:rPr>
          <w:b/>
          <w:color w:val="01579B"/>
          <w:sz w:val="24"/>
          <w:szCs w:val="24"/>
        </w:rPr>
        <w:t> </w:t>
      </w:r>
      <w:r w:rsidRPr="008A6D61">
        <w:rPr>
          <w:b/>
          <w:color w:val="01579B"/>
          <w:sz w:val="24"/>
          <w:szCs w:val="24"/>
        </w:rPr>
        <w:t>indicator</w:t>
      </w:r>
    </w:p>
    <w:p w14:paraId="40950281" w14:textId="44AF52AD" w:rsidR="00D37593" w:rsidRPr="008A6D61" w:rsidRDefault="00356C35" w:rsidP="001F610A">
      <w:pPr>
        <w:pStyle w:val="SL-FlLftSgl"/>
        <w:rPr>
          <w:lang w:val="en-US"/>
        </w:rPr>
      </w:pPr>
      <w:r w:rsidRPr="008A6D61">
        <w:rPr>
          <w:noProof/>
          <w:lang w:val="en-US"/>
        </w:rPr>
        <w:drawing>
          <wp:inline distT="0" distB="0" distL="0" distR="0" wp14:anchorId="7E95C9B3" wp14:editId="0044C2AF">
            <wp:extent cx="5798157" cy="4064773"/>
            <wp:effectExtent l="0" t="0" r="0" b="0"/>
            <wp:docPr id="1" name="Chart 1">
              <a:extLst xmlns:a="http://schemas.openxmlformats.org/drawingml/2006/main">
                <a:ext uri="{FF2B5EF4-FFF2-40B4-BE49-F238E27FC236}">
                  <a16:creationId xmlns:a16="http://schemas.microsoft.com/office/drawing/2014/main" id="{A3B4A9B8-7AFE-4605-BE28-DD193D9112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1270FA6B" w14:textId="4DA88672" w:rsidR="00746952" w:rsidRPr="008A6D61" w:rsidRDefault="00B50D39" w:rsidP="001F610A">
      <w:pPr>
        <w:pStyle w:val="SL-FlLftSgl"/>
        <w:rPr>
          <w:lang w:val="en-US"/>
        </w:rPr>
      </w:pPr>
      <w:r w:rsidRPr="008A6D61">
        <w:rPr>
          <w:lang w:val="en-US"/>
        </w:rPr>
        <w:t xml:space="preserve">Finally, some states used other data elements that did not </w:t>
      </w:r>
      <w:r w:rsidR="00C54359" w:rsidRPr="008A6D61">
        <w:rPr>
          <w:lang w:val="en-US"/>
        </w:rPr>
        <w:t>fall</w:t>
      </w:r>
      <w:r w:rsidRPr="008A6D61">
        <w:rPr>
          <w:lang w:val="en-US"/>
        </w:rPr>
        <w:t xml:space="preserve"> under the umbrella of compliance data or the SPP/APR results indicators. We identified 21.4 percent (n=6) of the 28 states used other data elements, including</w:t>
      </w:r>
      <w:r w:rsidR="00203879" w:rsidRPr="008A6D61">
        <w:rPr>
          <w:lang w:val="en-US"/>
        </w:rPr>
        <w:t xml:space="preserve"> </w:t>
      </w:r>
      <w:r w:rsidRPr="008A6D61">
        <w:rPr>
          <w:lang w:val="en-US"/>
        </w:rPr>
        <w:t>significant disproportionality designations</w:t>
      </w:r>
      <w:r w:rsidR="0054026D" w:rsidRPr="008A6D61">
        <w:rPr>
          <w:lang w:val="en-US"/>
        </w:rPr>
        <w:t xml:space="preserve"> (n=1)</w:t>
      </w:r>
      <w:r w:rsidRPr="008A6D61">
        <w:rPr>
          <w:lang w:val="en-US"/>
        </w:rPr>
        <w:t>, participation on alternate assessments</w:t>
      </w:r>
      <w:r w:rsidR="0054026D" w:rsidRPr="008A6D61">
        <w:rPr>
          <w:lang w:val="en-US"/>
        </w:rPr>
        <w:t xml:space="preserve"> (n=2)</w:t>
      </w:r>
      <w:r w:rsidRPr="008A6D61">
        <w:rPr>
          <w:lang w:val="en-US"/>
        </w:rPr>
        <w:t xml:space="preserve">, LEA designations under the </w:t>
      </w:r>
      <w:r w:rsidRPr="008A6D61">
        <w:rPr>
          <w:i/>
          <w:lang w:val="en-US"/>
        </w:rPr>
        <w:t>Every Student Succeeds Act</w:t>
      </w:r>
      <w:r w:rsidRPr="008A6D61">
        <w:rPr>
          <w:lang w:val="en-US"/>
        </w:rPr>
        <w:t xml:space="preserve"> (ESSA)</w:t>
      </w:r>
      <w:r w:rsidR="0054026D" w:rsidRPr="008A6D61">
        <w:rPr>
          <w:lang w:val="en-US"/>
        </w:rPr>
        <w:t xml:space="preserve"> (n=1)</w:t>
      </w:r>
      <w:r w:rsidRPr="008A6D61">
        <w:rPr>
          <w:lang w:val="en-US"/>
        </w:rPr>
        <w:t>, on-site monitoring results</w:t>
      </w:r>
      <w:r w:rsidR="0054026D" w:rsidRPr="008A6D61">
        <w:rPr>
          <w:lang w:val="en-US"/>
        </w:rPr>
        <w:t xml:space="preserve"> (n=1)</w:t>
      </w:r>
      <w:r w:rsidRPr="008A6D61">
        <w:rPr>
          <w:lang w:val="en-US"/>
        </w:rPr>
        <w:t>, survey response rates</w:t>
      </w:r>
      <w:r w:rsidR="0054026D" w:rsidRPr="008A6D61">
        <w:rPr>
          <w:lang w:val="en-US"/>
        </w:rPr>
        <w:t xml:space="preserve"> (n=1)</w:t>
      </w:r>
      <w:r w:rsidRPr="008A6D61">
        <w:rPr>
          <w:lang w:val="en-US"/>
        </w:rPr>
        <w:t>, training attendance</w:t>
      </w:r>
      <w:r w:rsidR="0054026D" w:rsidRPr="008A6D61">
        <w:rPr>
          <w:lang w:val="en-US"/>
        </w:rPr>
        <w:t xml:space="preserve"> (n=1)</w:t>
      </w:r>
      <w:r w:rsidRPr="008A6D61">
        <w:rPr>
          <w:lang w:val="en-US"/>
        </w:rPr>
        <w:t>, and career preparation assessment results</w:t>
      </w:r>
      <w:r w:rsidR="0054026D" w:rsidRPr="008A6D61">
        <w:rPr>
          <w:lang w:val="en-US"/>
        </w:rPr>
        <w:t xml:space="preserve"> (n=1)</w:t>
      </w:r>
      <w:r w:rsidRPr="008A6D61">
        <w:rPr>
          <w:lang w:val="en-US"/>
        </w:rPr>
        <w:t>.</w:t>
      </w:r>
    </w:p>
    <w:p w14:paraId="4C20BBC0" w14:textId="0530094B" w:rsidR="00C81DD9" w:rsidRPr="008A6D61" w:rsidRDefault="00BA2D3E" w:rsidP="001F610A">
      <w:pPr>
        <w:pStyle w:val="Heading3"/>
        <w:rPr>
          <w:sz w:val="40"/>
          <w:szCs w:val="40"/>
        </w:rPr>
      </w:pPr>
      <w:r w:rsidRPr="008A6D61">
        <w:lastRenderedPageBreak/>
        <w:t xml:space="preserve">What methodologies </w:t>
      </w:r>
      <w:r w:rsidR="00AD5095" w:rsidRPr="008A6D61">
        <w:t>did</w:t>
      </w:r>
      <w:r w:rsidRPr="008A6D61">
        <w:t xml:space="preserve"> states use to calculate LEA determinations?</w:t>
      </w:r>
    </w:p>
    <w:p w14:paraId="7BA4096D" w14:textId="18E0BCC7" w:rsidR="00C80084" w:rsidRPr="008A6D61" w:rsidRDefault="00F716B5" w:rsidP="001F610A">
      <w:pPr>
        <w:pStyle w:val="SL-FlLftSgl"/>
        <w:rPr>
          <w:lang w:val="en-US"/>
        </w:rPr>
      </w:pPr>
      <w:r w:rsidRPr="008A6D61">
        <w:rPr>
          <w:lang w:val="en-US"/>
        </w:rPr>
        <w:t>As part of our analysis, we</w:t>
      </w:r>
      <w:r w:rsidR="00AD5095" w:rsidRPr="008A6D61">
        <w:rPr>
          <w:lang w:val="en-US"/>
        </w:rPr>
        <w:t xml:space="preserve"> examined the methodologies that the 28 states used to calculate the LEA determinations. </w:t>
      </w:r>
      <w:r w:rsidR="00973702" w:rsidRPr="008A6D61">
        <w:rPr>
          <w:lang w:val="en-US"/>
        </w:rPr>
        <w:t>We found that</w:t>
      </w:r>
      <w:r w:rsidR="00304A8A" w:rsidRPr="008A6D61">
        <w:rPr>
          <w:lang w:val="en-US"/>
        </w:rPr>
        <w:t xml:space="preserve"> 60.7 percent</w:t>
      </w:r>
      <w:r w:rsidR="00C80084" w:rsidRPr="008A6D61">
        <w:rPr>
          <w:lang w:val="en-US"/>
        </w:rPr>
        <w:t xml:space="preserve"> (n=17)</w:t>
      </w:r>
      <w:r w:rsidR="00304A8A" w:rsidRPr="008A6D61">
        <w:rPr>
          <w:lang w:val="en-US"/>
        </w:rPr>
        <w:t xml:space="preserve"> of the states assigned point values to the data elements included for LEA determinations. Some of these states assigned points based on cut scores or percentiles, mimicking </w:t>
      </w:r>
      <w:r w:rsidR="00973702" w:rsidRPr="008A6D61">
        <w:rPr>
          <w:lang w:val="en-US"/>
        </w:rPr>
        <w:t>those used by</w:t>
      </w:r>
      <w:r w:rsidR="00304A8A" w:rsidRPr="008A6D61">
        <w:rPr>
          <w:lang w:val="en-US"/>
        </w:rPr>
        <w:t xml:space="preserve"> OSEP when issuing state determinations of performance. </w:t>
      </w:r>
      <w:r w:rsidR="00FD0865" w:rsidRPr="008A6D61">
        <w:rPr>
          <w:lang w:val="en-US"/>
        </w:rPr>
        <w:t>T</w:t>
      </w:r>
      <w:r w:rsidR="00304A8A" w:rsidRPr="008A6D61">
        <w:rPr>
          <w:lang w:val="en-US"/>
        </w:rPr>
        <w:t>he 28.6 percent</w:t>
      </w:r>
      <w:r w:rsidRPr="008A6D61">
        <w:rPr>
          <w:lang w:val="en-US"/>
        </w:rPr>
        <w:t xml:space="preserve"> (n=8)</w:t>
      </w:r>
      <w:r w:rsidR="00304A8A" w:rsidRPr="008A6D61">
        <w:rPr>
          <w:lang w:val="en-US"/>
        </w:rPr>
        <w:t xml:space="preserve"> of states that did not assign points</w:t>
      </w:r>
      <w:r w:rsidR="00FD0865" w:rsidRPr="008A6D61">
        <w:rPr>
          <w:lang w:val="en-US"/>
        </w:rPr>
        <w:t xml:space="preserve"> used alternative methods, such as determining whether targets for data elements were met or whether LEAs were fully compliant for all data elements.</w:t>
      </w:r>
      <w:r w:rsidR="00304A8A" w:rsidRPr="008A6D61">
        <w:rPr>
          <w:lang w:val="en-US"/>
        </w:rPr>
        <w:t xml:space="preserve"> </w:t>
      </w:r>
      <w:r w:rsidR="00FD0865" w:rsidRPr="008A6D61">
        <w:rPr>
          <w:lang w:val="en-US"/>
        </w:rPr>
        <w:t>The</w:t>
      </w:r>
      <w:r w:rsidR="00304A8A" w:rsidRPr="008A6D61">
        <w:rPr>
          <w:lang w:val="en-US"/>
        </w:rPr>
        <w:t xml:space="preserve"> remaining 10.7</w:t>
      </w:r>
      <w:r w:rsidR="00C80084" w:rsidRPr="008A6D61">
        <w:rPr>
          <w:lang w:val="en-US"/>
        </w:rPr>
        <w:t xml:space="preserve"> </w:t>
      </w:r>
      <w:r w:rsidR="00304A8A" w:rsidRPr="008A6D61">
        <w:rPr>
          <w:lang w:val="en-US"/>
        </w:rPr>
        <w:t xml:space="preserve">percent </w:t>
      </w:r>
      <w:r w:rsidRPr="008A6D61">
        <w:rPr>
          <w:lang w:val="en-US"/>
        </w:rPr>
        <w:t xml:space="preserve">(n=3) </w:t>
      </w:r>
      <w:r w:rsidR="00304A8A" w:rsidRPr="008A6D61">
        <w:rPr>
          <w:lang w:val="en-US"/>
        </w:rPr>
        <w:t xml:space="preserve">of states did not specify what process </w:t>
      </w:r>
      <w:r w:rsidR="00FC080F" w:rsidRPr="008A6D61">
        <w:rPr>
          <w:lang w:val="en-US"/>
        </w:rPr>
        <w:t xml:space="preserve">they </w:t>
      </w:r>
      <w:r w:rsidR="00304A8A" w:rsidRPr="008A6D61">
        <w:rPr>
          <w:lang w:val="en-US"/>
        </w:rPr>
        <w:t xml:space="preserve">used </w:t>
      </w:r>
      <w:r w:rsidR="00FC080F" w:rsidRPr="008A6D61">
        <w:rPr>
          <w:lang w:val="en-US"/>
        </w:rPr>
        <w:t>to</w:t>
      </w:r>
      <w:r w:rsidR="00304A8A" w:rsidRPr="008A6D61">
        <w:rPr>
          <w:lang w:val="en-US"/>
        </w:rPr>
        <w:t xml:space="preserve"> calculat</w:t>
      </w:r>
      <w:r w:rsidR="00FC080F" w:rsidRPr="008A6D61">
        <w:rPr>
          <w:lang w:val="en-US"/>
        </w:rPr>
        <w:t>e</w:t>
      </w:r>
      <w:r w:rsidR="00304A8A" w:rsidRPr="008A6D61">
        <w:rPr>
          <w:lang w:val="en-US"/>
        </w:rPr>
        <w:t xml:space="preserve"> LEA determinations. </w:t>
      </w:r>
      <w:r w:rsidR="00E80FE5" w:rsidRPr="008A6D61">
        <w:rPr>
          <w:lang w:val="en-US"/>
        </w:rPr>
        <w:t xml:space="preserve">Figure </w:t>
      </w:r>
      <w:r w:rsidR="00BA76ED" w:rsidRPr="008A6D61">
        <w:rPr>
          <w:lang w:val="en-US"/>
        </w:rPr>
        <w:t>2</w:t>
      </w:r>
      <w:r w:rsidR="00C80084" w:rsidRPr="008A6D61">
        <w:rPr>
          <w:lang w:val="en-US"/>
        </w:rPr>
        <w:t xml:space="preserve"> </w:t>
      </w:r>
      <w:r w:rsidR="00E80FE5" w:rsidRPr="008A6D61">
        <w:rPr>
          <w:lang w:val="en-US"/>
        </w:rPr>
        <w:t xml:space="preserve">shows this </w:t>
      </w:r>
      <w:r w:rsidR="00EA7B75" w:rsidRPr="008A6D61">
        <w:rPr>
          <w:lang w:val="en-US"/>
        </w:rPr>
        <w:t>breakdown</w:t>
      </w:r>
      <w:r w:rsidR="00C80084" w:rsidRPr="008A6D61">
        <w:rPr>
          <w:lang w:val="en-US"/>
        </w:rPr>
        <w:t>.</w:t>
      </w:r>
    </w:p>
    <w:p w14:paraId="251633CA" w14:textId="77777777" w:rsidR="00195AD0" w:rsidRPr="008A6D61" w:rsidRDefault="00195AD0" w:rsidP="00195AD0">
      <w:pPr>
        <w:pStyle w:val="TT-TableTitle"/>
        <w:rPr>
          <w:b/>
          <w:color w:val="01579B"/>
          <w:sz w:val="24"/>
          <w:szCs w:val="24"/>
        </w:rPr>
      </w:pPr>
      <w:r w:rsidRPr="008A6D61">
        <w:rPr>
          <w:b/>
          <w:color w:val="01579B"/>
          <w:sz w:val="24"/>
          <w:szCs w:val="24"/>
        </w:rPr>
        <w:t>Figure 2.</w:t>
      </w:r>
      <w:r w:rsidRPr="008A6D61">
        <w:rPr>
          <w:b/>
          <w:color w:val="01579B"/>
          <w:sz w:val="24"/>
          <w:szCs w:val="24"/>
        </w:rPr>
        <w:tab/>
        <w:t>Percentage of states that assigned points to data elements in LEA determinations calculations</w:t>
      </w:r>
    </w:p>
    <w:p w14:paraId="1D71B543" w14:textId="12AC3E61" w:rsidR="00195AD0" w:rsidRPr="008A6D61" w:rsidRDefault="00195AD0" w:rsidP="00195AD0">
      <w:pPr>
        <w:pStyle w:val="SL-FlLftSgl"/>
        <w:jc w:val="center"/>
        <w:rPr>
          <w:lang w:val="en-US"/>
        </w:rPr>
      </w:pPr>
      <w:r w:rsidRPr="007800B6">
        <w:rPr>
          <w:noProof/>
          <w:color w:val="01579B"/>
          <w:lang w:val="en-US"/>
        </w:rPr>
        <w:drawing>
          <wp:inline distT="0" distB="0" distL="0" distR="0" wp14:anchorId="74E1B8BF" wp14:editId="0BDEEB05">
            <wp:extent cx="5305168" cy="2029460"/>
            <wp:effectExtent l="0" t="0" r="0" b="0"/>
            <wp:docPr id="2" name="Char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569019EA" w14:textId="2ED78763" w:rsidR="00E80FE5" w:rsidRPr="008A6D61" w:rsidRDefault="00A21D75" w:rsidP="001F610A">
      <w:pPr>
        <w:pStyle w:val="SL-FlLftSgl"/>
        <w:rPr>
          <w:lang w:val="en-US"/>
        </w:rPr>
      </w:pPr>
      <w:r w:rsidRPr="008A6D61">
        <w:rPr>
          <w:lang w:val="en-US"/>
        </w:rPr>
        <w:t xml:space="preserve">To prioritize certain data elements over others, some </w:t>
      </w:r>
      <w:r w:rsidR="00671188" w:rsidRPr="008A6D61">
        <w:rPr>
          <w:lang w:val="en-US"/>
        </w:rPr>
        <w:t>states elect</w:t>
      </w:r>
      <w:r w:rsidR="00FD0865" w:rsidRPr="008A6D61">
        <w:rPr>
          <w:lang w:val="en-US"/>
        </w:rPr>
        <w:t>ed</w:t>
      </w:r>
      <w:r w:rsidR="00671188" w:rsidRPr="008A6D61">
        <w:rPr>
          <w:lang w:val="en-US"/>
        </w:rPr>
        <w:t xml:space="preserve"> to use a weighting system in which </w:t>
      </w:r>
      <w:r w:rsidR="00FD0865" w:rsidRPr="008A6D61">
        <w:rPr>
          <w:lang w:val="en-US"/>
        </w:rPr>
        <w:t>some</w:t>
      </w:r>
      <w:r w:rsidR="00671188" w:rsidRPr="008A6D61">
        <w:rPr>
          <w:lang w:val="en-US"/>
        </w:rPr>
        <w:t xml:space="preserve"> data</w:t>
      </w:r>
      <w:r w:rsidR="00FD0865" w:rsidRPr="008A6D61">
        <w:rPr>
          <w:lang w:val="en-US"/>
        </w:rPr>
        <w:t xml:space="preserve"> are more</w:t>
      </w:r>
      <w:r w:rsidR="00671188" w:rsidRPr="008A6D61">
        <w:rPr>
          <w:lang w:val="en-US"/>
        </w:rPr>
        <w:t xml:space="preserve"> high</w:t>
      </w:r>
      <w:r w:rsidR="00FD0865" w:rsidRPr="008A6D61">
        <w:rPr>
          <w:lang w:val="en-US"/>
        </w:rPr>
        <w:t>ly valued</w:t>
      </w:r>
      <w:r w:rsidR="00671188" w:rsidRPr="008A6D61">
        <w:rPr>
          <w:lang w:val="en-US"/>
        </w:rPr>
        <w:t xml:space="preserve"> than other data. For example, if a state wants to focus on participation on statewide assessment</w:t>
      </w:r>
      <w:r w:rsidR="00E217D5" w:rsidRPr="008A6D61">
        <w:rPr>
          <w:lang w:val="en-US"/>
        </w:rPr>
        <w:t>s</w:t>
      </w:r>
      <w:r w:rsidR="00671188" w:rsidRPr="008A6D61">
        <w:rPr>
          <w:lang w:val="en-US"/>
        </w:rPr>
        <w:t xml:space="preserve"> and uses points to score the data, </w:t>
      </w:r>
      <w:r w:rsidR="00663582" w:rsidRPr="008A6D61">
        <w:rPr>
          <w:lang w:val="en-US"/>
        </w:rPr>
        <w:t xml:space="preserve">the state will assign </w:t>
      </w:r>
      <w:r w:rsidR="00671188" w:rsidRPr="008A6D61">
        <w:rPr>
          <w:lang w:val="en-US"/>
        </w:rPr>
        <w:t xml:space="preserve">more points for </w:t>
      </w:r>
      <w:r w:rsidR="00C161D6" w:rsidRPr="008A6D61">
        <w:rPr>
          <w:lang w:val="en-US"/>
        </w:rPr>
        <w:t>SPP</w:t>
      </w:r>
      <w:r w:rsidR="00C217E9" w:rsidRPr="008A6D61">
        <w:rPr>
          <w:lang w:val="en-US"/>
        </w:rPr>
        <w:t>/APR</w:t>
      </w:r>
      <w:r w:rsidR="00C161D6" w:rsidRPr="008A6D61">
        <w:rPr>
          <w:lang w:val="en-US"/>
        </w:rPr>
        <w:t xml:space="preserve"> </w:t>
      </w:r>
      <w:r w:rsidR="003672C2" w:rsidRPr="008A6D61">
        <w:rPr>
          <w:lang w:val="en-US"/>
        </w:rPr>
        <w:t>I</w:t>
      </w:r>
      <w:r w:rsidR="00671188" w:rsidRPr="008A6D61">
        <w:rPr>
          <w:lang w:val="en-US"/>
        </w:rPr>
        <w:t xml:space="preserve">ndicator 3B than </w:t>
      </w:r>
      <w:r w:rsidR="00663582" w:rsidRPr="008A6D61">
        <w:rPr>
          <w:lang w:val="en-US"/>
        </w:rPr>
        <w:t xml:space="preserve">for </w:t>
      </w:r>
      <w:r w:rsidR="00671188" w:rsidRPr="008A6D61">
        <w:rPr>
          <w:lang w:val="en-US"/>
        </w:rPr>
        <w:t>other indicators. Weighting of data</w:t>
      </w:r>
      <w:r w:rsidR="000A2377" w:rsidRPr="008A6D61">
        <w:rPr>
          <w:lang w:val="en-US"/>
        </w:rPr>
        <w:t xml:space="preserve"> elements</w:t>
      </w:r>
      <w:r w:rsidR="00671188" w:rsidRPr="008A6D61">
        <w:rPr>
          <w:lang w:val="en-US"/>
        </w:rPr>
        <w:t xml:space="preserve"> does not apply</w:t>
      </w:r>
      <w:r w:rsidR="00633934" w:rsidRPr="008A6D61">
        <w:rPr>
          <w:lang w:val="en-US"/>
        </w:rPr>
        <w:t xml:space="preserve"> only</w:t>
      </w:r>
      <w:r w:rsidR="00671188" w:rsidRPr="008A6D61">
        <w:rPr>
          <w:lang w:val="en-US"/>
        </w:rPr>
        <w:t xml:space="preserve"> to instances in which </w:t>
      </w:r>
      <w:r w:rsidR="00015D38" w:rsidRPr="008A6D61">
        <w:rPr>
          <w:lang w:val="en-US"/>
        </w:rPr>
        <w:t xml:space="preserve">the state assigns </w:t>
      </w:r>
      <w:r w:rsidR="00671188" w:rsidRPr="008A6D61">
        <w:rPr>
          <w:lang w:val="en-US"/>
        </w:rPr>
        <w:t xml:space="preserve">points, </w:t>
      </w:r>
      <w:r w:rsidR="00EA7B75" w:rsidRPr="008A6D61">
        <w:rPr>
          <w:lang w:val="en-US"/>
        </w:rPr>
        <w:t>as</w:t>
      </w:r>
      <w:r w:rsidR="00671188" w:rsidRPr="008A6D61">
        <w:rPr>
          <w:lang w:val="en-US"/>
        </w:rPr>
        <w:t xml:space="preserve"> the determination category criteria</w:t>
      </w:r>
      <w:r w:rsidR="00932E90" w:rsidRPr="008A6D61">
        <w:rPr>
          <w:lang w:val="en-US"/>
        </w:rPr>
        <w:t xml:space="preserve"> </w:t>
      </w:r>
      <w:r w:rsidR="00015D38" w:rsidRPr="008A6D61">
        <w:rPr>
          <w:lang w:val="en-US"/>
        </w:rPr>
        <w:t>could reflect weig</w:t>
      </w:r>
      <w:r w:rsidR="0095422B" w:rsidRPr="008A6D61">
        <w:rPr>
          <w:lang w:val="en-US"/>
        </w:rPr>
        <w:t>h</w:t>
      </w:r>
      <w:r w:rsidR="00015D38" w:rsidRPr="008A6D61">
        <w:rPr>
          <w:lang w:val="en-US"/>
        </w:rPr>
        <w:t>ting</w:t>
      </w:r>
      <w:r w:rsidR="00671188" w:rsidRPr="008A6D61">
        <w:rPr>
          <w:lang w:val="en-US"/>
        </w:rPr>
        <w:t xml:space="preserve">. For example, if a state wants to focus on </w:t>
      </w:r>
      <w:r w:rsidR="00C161D6" w:rsidRPr="008A6D61">
        <w:rPr>
          <w:lang w:val="en-US"/>
        </w:rPr>
        <w:t>SPP</w:t>
      </w:r>
      <w:r w:rsidR="00C217E9" w:rsidRPr="008A6D61">
        <w:rPr>
          <w:lang w:val="en-US"/>
        </w:rPr>
        <w:t>/APR</w:t>
      </w:r>
      <w:r w:rsidR="00C161D6" w:rsidRPr="008A6D61">
        <w:rPr>
          <w:lang w:val="en-US"/>
        </w:rPr>
        <w:t xml:space="preserve"> </w:t>
      </w:r>
      <w:r w:rsidR="00932E90" w:rsidRPr="008A6D61">
        <w:rPr>
          <w:lang w:val="en-US"/>
        </w:rPr>
        <w:t>I</w:t>
      </w:r>
      <w:r w:rsidR="00671188" w:rsidRPr="008A6D61">
        <w:rPr>
          <w:lang w:val="en-US"/>
        </w:rPr>
        <w:t xml:space="preserve">ndicator 3B, </w:t>
      </w:r>
      <w:r w:rsidR="00FE18C7" w:rsidRPr="008A6D61">
        <w:rPr>
          <w:lang w:val="en-US"/>
        </w:rPr>
        <w:t xml:space="preserve">it </w:t>
      </w:r>
      <w:r w:rsidR="00671188" w:rsidRPr="008A6D61">
        <w:rPr>
          <w:lang w:val="en-US"/>
        </w:rPr>
        <w:t xml:space="preserve">might specify that </w:t>
      </w:r>
      <w:r w:rsidR="00FE18C7" w:rsidRPr="008A6D61">
        <w:rPr>
          <w:lang w:val="en-US"/>
        </w:rPr>
        <w:t>it will determine</w:t>
      </w:r>
      <w:r w:rsidR="00015D38" w:rsidRPr="008A6D61">
        <w:rPr>
          <w:lang w:val="en-US"/>
        </w:rPr>
        <w:t xml:space="preserve"> that</w:t>
      </w:r>
      <w:r w:rsidR="00FE18C7" w:rsidRPr="008A6D61">
        <w:rPr>
          <w:lang w:val="en-US"/>
        </w:rPr>
        <w:t xml:space="preserve"> </w:t>
      </w:r>
      <w:r w:rsidR="00671188" w:rsidRPr="008A6D61">
        <w:rPr>
          <w:lang w:val="en-US"/>
        </w:rPr>
        <w:t xml:space="preserve">any LEA with 100 percent participation for </w:t>
      </w:r>
      <w:r w:rsidR="00932E90" w:rsidRPr="008A6D61">
        <w:rPr>
          <w:lang w:val="en-US"/>
        </w:rPr>
        <w:t>I</w:t>
      </w:r>
      <w:r w:rsidR="00671188" w:rsidRPr="008A6D61">
        <w:rPr>
          <w:lang w:val="en-US"/>
        </w:rPr>
        <w:t xml:space="preserve">ndicator 3B </w:t>
      </w:r>
      <w:r w:rsidR="00671188" w:rsidRPr="008A6D61">
        <w:rPr>
          <w:i/>
          <w:lang w:val="en-US"/>
        </w:rPr>
        <w:t>meets requirements</w:t>
      </w:r>
      <w:r w:rsidR="00671188" w:rsidRPr="008A6D61">
        <w:rPr>
          <w:lang w:val="en-US"/>
        </w:rPr>
        <w:t xml:space="preserve">, regardless of other data. In this instance, </w:t>
      </w:r>
      <w:r w:rsidR="00FE18C7" w:rsidRPr="008A6D61">
        <w:rPr>
          <w:lang w:val="en-US"/>
        </w:rPr>
        <w:t>the state values</w:t>
      </w:r>
      <w:r w:rsidR="009936A6" w:rsidRPr="008A6D61">
        <w:rPr>
          <w:lang w:val="en-US"/>
        </w:rPr>
        <w:t>,</w:t>
      </w:r>
      <w:r w:rsidR="00FE18C7" w:rsidRPr="008A6D61">
        <w:rPr>
          <w:lang w:val="en-US"/>
        </w:rPr>
        <w:t xml:space="preserve"> or weights</w:t>
      </w:r>
      <w:r w:rsidR="009936A6" w:rsidRPr="008A6D61">
        <w:rPr>
          <w:lang w:val="en-US"/>
        </w:rPr>
        <w:t>,</w:t>
      </w:r>
      <w:r w:rsidR="00FE18C7" w:rsidRPr="008A6D61">
        <w:rPr>
          <w:lang w:val="en-US"/>
        </w:rPr>
        <w:t xml:space="preserve"> </w:t>
      </w:r>
      <w:r w:rsidR="00671188" w:rsidRPr="008A6D61">
        <w:rPr>
          <w:lang w:val="en-US"/>
        </w:rPr>
        <w:t>this assessment participation rate data higher than other data elements.</w:t>
      </w:r>
      <w:r w:rsidR="00FF1CF1" w:rsidRPr="008A6D61">
        <w:rPr>
          <w:lang w:val="en-US"/>
        </w:rPr>
        <w:t xml:space="preserve"> </w:t>
      </w:r>
    </w:p>
    <w:p w14:paraId="23E07E7D" w14:textId="77777777" w:rsidR="00195AD0" w:rsidRPr="008A6D61" w:rsidRDefault="00195AD0" w:rsidP="00195AD0">
      <w:pPr>
        <w:pStyle w:val="SL-FlLftSgl"/>
        <w:spacing w:before="180"/>
        <w:rPr>
          <w:lang w:val="en-US"/>
        </w:rPr>
      </w:pPr>
      <w:r w:rsidRPr="008A6D61">
        <w:rPr>
          <w:lang w:val="en-US"/>
        </w:rPr>
        <w:t>As shown in Figure 3, 25 percent (n=7) of states used weighting to place priorities on certain data elements, and 64.3 percent (n=18) of states did not use weighting. The remaining 10.7 percent (n=3) of states did not specify whether they weighted the data.</w:t>
      </w:r>
    </w:p>
    <w:p w14:paraId="1F2DEEB7" w14:textId="221684B9" w:rsidR="001F610A" w:rsidRPr="008A6D61" w:rsidRDefault="001F610A" w:rsidP="002F46D3">
      <w:pPr>
        <w:pStyle w:val="TT-TableTitle"/>
        <w:rPr>
          <w:b/>
          <w:color w:val="01579B"/>
          <w:sz w:val="24"/>
          <w:szCs w:val="24"/>
        </w:rPr>
      </w:pPr>
      <w:r w:rsidRPr="008A6D61">
        <w:rPr>
          <w:b/>
          <w:color w:val="01579B"/>
          <w:sz w:val="24"/>
          <w:szCs w:val="24"/>
        </w:rPr>
        <w:lastRenderedPageBreak/>
        <w:t>Figure 3.</w:t>
      </w:r>
      <w:r w:rsidR="002F46D3" w:rsidRPr="008A6D61">
        <w:rPr>
          <w:b/>
          <w:color w:val="01579B"/>
          <w:sz w:val="24"/>
          <w:szCs w:val="24"/>
        </w:rPr>
        <w:tab/>
      </w:r>
      <w:r w:rsidRPr="008A6D61">
        <w:rPr>
          <w:b/>
          <w:color w:val="01579B"/>
          <w:sz w:val="24"/>
          <w:szCs w:val="24"/>
        </w:rPr>
        <w:t>Percentage of states that weighted certain data elements in LEA determinations calculations</w:t>
      </w:r>
    </w:p>
    <w:p w14:paraId="1EB7E077" w14:textId="309604DA" w:rsidR="001F610A" w:rsidRPr="008A6D61" w:rsidRDefault="001F610A" w:rsidP="00195AD0">
      <w:pPr>
        <w:pStyle w:val="SL-FlLftSgl"/>
        <w:jc w:val="center"/>
        <w:rPr>
          <w:lang w:val="en-US"/>
        </w:rPr>
      </w:pPr>
      <w:r w:rsidRPr="007800B6">
        <w:rPr>
          <w:noProof/>
          <w:color w:val="01579B"/>
          <w:lang w:val="en-US"/>
        </w:rPr>
        <w:drawing>
          <wp:inline distT="0" distB="0" distL="0" distR="0" wp14:anchorId="15A30EBD" wp14:editId="43ED30AC">
            <wp:extent cx="5594968" cy="2029460"/>
            <wp:effectExtent l="0" t="0" r="0" b="0"/>
            <wp:docPr id="4" name="Chart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1587252A" w14:textId="4D0523E0" w:rsidR="00336FD2" w:rsidRPr="008A6D61" w:rsidRDefault="00E81BBD" w:rsidP="001F610A">
      <w:pPr>
        <w:pStyle w:val="Heading3"/>
        <w:rPr>
          <w:sz w:val="40"/>
          <w:szCs w:val="40"/>
        </w:rPr>
      </w:pPr>
      <w:r w:rsidRPr="008A6D61">
        <w:t>What c</w:t>
      </w:r>
      <w:r w:rsidRPr="007800B6">
        <w:t>riteri</w:t>
      </w:r>
      <w:r w:rsidRPr="008A6D61">
        <w:t xml:space="preserve">a did states use </w:t>
      </w:r>
      <w:r w:rsidR="00DC01FC" w:rsidRPr="008A6D61">
        <w:t xml:space="preserve">to </w:t>
      </w:r>
      <w:r w:rsidRPr="008A6D61">
        <w:t xml:space="preserve">assign </w:t>
      </w:r>
      <w:r w:rsidRPr="007800B6">
        <w:t>LE</w:t>
      </w:r>
      <w:r w:rsidRPr="008A6D61">
        <w:t xml:space="preserve">As to determination categories? </w:t>
      </w:r>
    </w:p>
    <w:p w14:paraId="54738E61" w14:textId="77D11F74" w:rsidR="00165938" w:rsidRPr="008A6D61" w:rsidRDefault="00E81BBD" w:rsidP="001F610A">
      <w:pPr>
        <w:pStyle w:val="SL-FlLftSgl"/>
        <w:rPr>
          <w:lang w:val="en-US"/>
        </w:rPr>
      </w:pPr>
      <w:r w:rsidRPr="008A6D61">
        <w:rPr>
          <w:lang w:val="en-US"/>
        </w:rPr>
        <w:t xml:space="preserve">IDC also analyzed the criteria </w:t>
      </w:r>
      <w:r w:rsidR="00372644" w:rsidRPr="008A6D61">
        <w:rPr>
          <w:lang w:val="en-US"/>
        </w:rPr>
        <w:t xml:space="preserve">states </w:t>
      </w:r>
      <w:r w:rsidRPr="008A6D61">
        <w:rPr>
          <w:lang w:val="en-US"/>
        </w:rPr>
        <w:t xml:space="preserve">used for assigning LEAs to determination categories. </w:t>
      </w:r>
      <w:r w:rsidR="00D14EA0" w:rsidRPr="008A6D61">
        <w:rPr>
          <w:lang w:val="en-US"/>
        </w:rPr>
        <w:t xml:space="preserve">Twenty-two out of the 28 states provided explicit documentation </w:t>
      </w:r>
      <w:r w:rsidR="00372644" w:rsidRPr="008A6D61">
        <w:rPr>
          <w:lang w:val="en-US"/>
        </w:rPr>
        <w:t xml:space="preserve">about </w:t>
      </w:r>
      <w:r w:rsidR="00D14EA0" w:rsidRPr="008A6D61">
        <w:rPr>
          <w:lang w:val="en-US"/>
        </w:rPr>
        <w:t>their criteria.</w:t>
      </w:r>
      <w:r w:rsidR="00C80084" w:rsidRPr="008A6D61">
        <w:rPr>
          <w:lang w:val="en-US"/>
        </w:rPr>
        <w:t xml:space="preserve"> </w:t>
      </w:r>
      <w:r w:rsidR="00FC080F" w:rsidRPr="008A6D61">
        <w:rPr>
          <w:lang w:val="en-US"/>
        </w:rPr>
        <w:t>Six</w:t>
      </w:r>
      <w:r w:rsidR="00372644" w:rsidRPr="008A6D61">
        <w:rPr>
          <w:lang w:val="en-US"/>
        </w:rPr>
        <w:t xml:space="preserve"> states</w:t>
      </w:r>
      <w:r w:rsidR="00DC01FC" w:rsidRPr="008A6D61">
        <w:rPr>
          <w:lang w:val="en-US"/>
        </w:rPr>
        <w:t xml:space="preserve"> </w:t>
      </w:r>
      <w:r w:rsidR="00372644" w:rsidRPr="008A6D61">
        <w:rPr>
          <w:lang w:val="en-US"/>
        </w:rPr>
        <w:t xml:space="preserve">did not </w:t>
      </w:r>
      <w:r w:rsidR="00FC080F" w:rsidRPr="008A6D61">
        <w:rPr>
          <w:lang w:val="en-US"/>
        </w:rPr>
        <w:t xml:space="preserve">specify </w:t>
      </w:r>
      <w:r w:rsidR="00372644" w:rsidRPr="008A6D61">
        <w:rPr>
          <w:lang w:val="en-US"/>
        </w:rPr>
        <w:t>the criteria for each determination category in their available documentation.</w:t>
      </w:r>
      <w:r w:rsidR="00D14EA0" w:rsidRPr="008A6D61">
        <w:rPr>
          <w:lang w:val="en-US"/>
        </w:rPr>
        <w:t xml:space="preserve"> More than half (54.5 percent</w:t>
      </w:r>
      <w:r w:rsidR="00C80084" w:rsidRPr="008A6D61">
        <w:rPr>
          <w:lang w:val="en-US"/>
        </w:rPr>
        <w:t>, n=12</w:t>
      </w:r>
      <w:r w:rsidR="00D14EA0" w:rsidRPr="008A6D61">
        <w:rPr>
          <w:lang w:val="en-US"/>
        </w:rPr>
        <w:t xml:space="preserve">) of the 22 states used the same methods to establish criteria for each of the LEA determinations categories. </w:t>
      </w:r>
      <w:r w:rsidR="00921725" w:rsidRPr="008A6D61">
        <w:rPr>
          <w:lang w:val="en-US"/>
        </w:rPr>
        <w:t>For example</w:t>
      </w:r>
      <w:r w:rsidR="00A640DE" w:rsidRPr="008A6D61">
        <w:rPr>
          <w:lang w:val="en-US"/>
        </w:rPr>
        <w:t>,</w:t>
      </w:r>
      <w:r w:rsidR="00921725" w:rsidRPr="008A6D61">
        <w:rPr>
          <w:lang w:val="en-US"/>
        </w:rPr>
        <w:t xml:space="preserve"> </w:t>
      </w:r>
      <w:r w:rsidR="002976A8" w:rsidRPr="008A6D61">
        <w:rPr>
          <w:lang w:val="en-US"/>
        </w:rPr>
        <w:t xml:space="preserve">a state </w:t>
      </w:r>
      <w:r w:rsidR="00A640DE" w:rsidRPr="008A6D61">
        <w:rPr>
          <w:lang w:val="en-US"/>
        </w:rPr>
        <w:t>could</w:t>
      </w:r>
      <w:r w:rsidR="002976A8" w:rsidRPr="008A6D61">
        <w:rPr>
          <w:lang w:val="en-US"/>
        </w:rPr>
        <w:t xml:space="preserve"> </w:t>
      </w:r>
      <w:r w:rsidR="00A640DE" w:rsidRPr="008A6D61">
        <w:rPr>
          <w:lang w:val="en-US"/>
        </w:rPr>
        <w:t xml:space="preserve">have </w:t>
      </w:r>
      <w:r w:rsidR="002976A8" w:rsidRPr="008A6D61">
        <w:rPr>
          <w:lang w:val="en-US"/>
        </w:rPr>
        <w:t>use</w:t>
      </w:r>
      <w:r w:rsidR="00A640DE" w:rsidRPr="008A6D61">
        <w:rPr>
          <w:lang w:val="en-US"/>
        </w:rPr>
        <w:t>d</w:t>
      </w:r>
      <w:r w:rsidR="002976A8" w:rsidRPr="008A6D61">
        <w:rPr>
          <w:lang w:val="en-US"/>
        </w:rPr>
        <w:t xml:space="preserve"> </w:t>
      </w:r>
      <w:r w:rsidR="00921725" w:rsidRPr="008A6D61">
        <w:rPr>
          <w:lang w:val="en-US"/>
        </w:rPr>
        <w:t xml:space="preserve">cut scores to assign LEAs to determination categories. </w:t>
      </w:r>
      <w:r w:rsidR="00631289" w:rsidRPr="008A6D61">
        <w:rPr>
          <w:lang w:val="en-US"/>
        </w:rPr>
        <w:t xml:space="preserve">The state </w:t>
      </w:r>
      <w:r w:rsidR="009013DE" w:rsidRPr="008A6D61">
        <w:rPr>
          <w:lang w:val="en-US"/>
        </w:rPr>
        <w:t xml:space="preserve">could have </w:t>
      </w:r>
      <w:r w:rsidR="00631289" w:rsidRPr="008A6D61">
        <w:rPr>
          <w:lang w:val="en-US"/>
        </w:rPr>
        <w:t>assign</w:t>
      </w:r>
      <w:r w:rsidR="009013DE" w:rsidRPr="008A6D61">
        <w:rPr>
          <w:lang w:val="en-US"/>
        </w:rPr>
        <w:t>ed</w:t>
      </w:r>
      <w:r w:rsidR="00631289" w:rsidRPr="008A6D61">
        <w:rPr>
          <w:lang w:val="en-US"/>
        </w:rPr>
        <w:t xml:space="preserve"> </w:t>
      </w:r>
      <w:r w:rsidR="00FA327F" w:rsidRPr="008A6D61">
        <w:rPr>
          <w:lang w:val="en-US"/>
        </w:rPr>
        <w:t>0 points, 1 point, or 2 points</w:t>
      </w:r>
      <w:r w:rsidR="00921725" w:rsidRPr="008A6D61">
        <w:rPr>
          <w:lang w:val="en-US"/>
        </w:rPr>
        <w:t xml:space="preserve"> for the 10 data elements </w:t>
      </w:r>
      <w:r w:rsidR="00FE18C7" w:rsidRPr="008A6D61">
        <w:rPr>
          <w:lang w:val="en-US"/>
        </w:rPr>
        <w:t xml:space="preserve">it </w:t>
      </w:r>
      <w:r w:rsidR="00921725" w:rsidRPr="008A6D61">
        <w:rPr>
          <w:lang w:val="en-US"/>
        </w:rPr>
        <w:t>use</w:t>
      </w:r>
      <w:r w:rsidR="009013DE" w:rsidRPr="008A6D61">
        <w:rPr>
          <w:lang w:val="en-US"/>
        </w:rPr>
        <w:t xml:space="preserve">d </w:t>
      </w:r>
      <w:r w:rsidR="00921725" w:rsidRPr="008A6D61">
        <w:rPr>
          <w:lang w:val="en-US"/>
        </w:rPr>
        <w:t>in LEA determinations</w:t>
      </w:r>
      <w:r w:rsidR="009013DE" w:rsidRPr="008A6D61">
        <w:rPr>
          <w:lang w:val="en-US"/>
        </w:rPr>
        <w:t xml:space="preserve"> and used</w:t>
      </w:r>
      <w:r w:rsidR="0095422B" w:rsidRPr="008A6D61">
        <w:rPr>
          <w:lang w:val="en-US"/>
        </w:rPr>
        <w:t xml:space="preserve"> c</w:t>
      </w:r>
      <w:r w:rsidR="00165938" w:rsidRPr="008A6D61">
        <w:rPr>
          <w:lang w:val="en-US"/>
        </w:rPr>
        <w:t>ut scores for each category based on total points</w:t>
      </w:r>
      <w:r w:rsidR="000C7397" w:rsidRPr="008A6D61">
        <w:rPr>
          <w:lang w:val="en-US"/>
        </w:rPr>
        <w:t xml:space="preserve"> the LEA</w:t>
      </w:r>
      <w:r w:rsidR="00165938" w:rsidRPr="008A6D61">
        <w:rPr>
          <w:lang w:val="en-US"/>
        </w:rPr>
        <w:t xml:space="preserve"> earn</w:t>
      </w:r>
      <w:r w:rsidR="000C7397" w:rsidRPr="008A6D61">
        <w:rPr>
          <w:lang w:val="en-US"/>
        </w:rPr>
        <w:t>s</w:t>
      </w:r>
      <w:r w:rsidR="00165938" w:rsidRPr="008A6D61">
        <w:rPr>
          <w:lang w:val="en-US"/>
        </w:rPr>
        <w:t xml:space="preserve"> (see below):</w:t>
      </w:r>
    </w:p>
    <w:p w14:paraId="3F2623F9" w14:textId="0621A706" w:rsidR="00C217E9" w:rsidRPr="008A6D61" w:rsidRDefault="00C217E9" w:rsidP="001F610A">
      <w:pPr>
        <w:pStyle w:val="N1-1stBullet"/>
        <w:rPr>
          <w:i/>
          <w:iCs/>
        </w:rPr>
      </w:pPr>
      <w:r w:rsidRPr="008A6D61">
        <w:rPr>
          <w:i/>
          <w:iCs/>
        </w:rPr>
        <w:t>Meets requirements</w:t>
      </w:r>
      <w:r w:rsidR="000C7397" w:rsidRPr="008A6D61">
        <w:rPr>
          <w:iCs/>
        </w:rPr>
        <w:t xml:space="preserve">: </w:t>
      </w:r>
      <w:r w:rsidRPr="008A6D61">
        <w:t>15 points or more</w:t>
      </w:r>
    </w:p>
    <w:p w14:paraId="218CD99A" w14:textId="33C06702" w:rsidR="00C217E9" w:rsidRPr="008A6D61" w:rsidRDefault="00C217E9" w:rsidP="001F610A">
      <w:pPr>
        <w:pStyle w:val="N1-1stBullet"/>
        <w:rPr>
          <w:i/>
          <w:iCs/>
        </w:rPr>
      </w:pPr>
      <w:r w:rsidRPr="008A6D61">
        <w:rPr>
          <w:i/>
          <w:iCs/>
        </w:rPr>
        <w:t>Needs assistance</w:t>
      </w:r>
      <w:r w:rsidR="000C7397" w:rsidRPr="008A6D61">
        <w:rPr>
          <w:iCs/>
        </w:rPr>
        <w:t>:</w:t>
      </w:r>
      <w:r w:rsidRPr="008A6D61">
        <w:rPr>
          <w:i/>
          <w:iCs/>
        </w:rPr>
        <w:t xml:space="preserve"> </w:t>
      </w:r>
      <w:r w:rsidRPr="008A6D61">
        <w:t>9</w:t>
      </w:r>
      <w:r w:rsidR="00F438AF" w:rsidRPr="008A6D61">
        <w:t>–</w:t>
      </w:r>
      <w:r w:rsidRPr="008A6D61">
        <w:t>14 points</w:t>
      </w:r>
    </w:p>
    <w:p w14:paraId="2641F89D" w14:textId="68D1A30B" w:rsidR="00C217E9" w:rsidRPr="008A6D61" w:rsidRDefault="00C217E9" w:rsidP="001F610A">
      <w:pPr>
        <w:pStyle w:val="N1-1stBullet"/>
        <w:rPr>
          <w:i/>
          <w:iCs/>
        </w:rPr>
      </w:pPr>
      <w:r w:rsidRPr="008A6D61">
        <w:rPr>
          <w:i/>
          <w:iCs/>
        </w:rPr>
        <w:t>Needs intervention</w:t>
      </w:r>
      <w:r w:rsidR="000C7397" w:rsidRPr="008A6D61">
        <w:rPr>
          <w:iCs/>
        </w:rPr>
        <w:t>:</w:t>
      </w:r>
      <w:r w:rsidRPr="008A6D61">
        <w:t xml:space="preserve"> 4</w:t>
      </w:r>
      <w:r w:rsidR="00F438AF" w:rsidRPr="008A6D61">
        <w:t>–</w:t>
      </w:r>
      <w:r w:rsidRPr="008A6D61">
        <w:t>8 points</w:t>
      </w:r>
    </w:p>
    <w:p w14:paraId="79C6C9D2" w14:textId="4D68DEFF" w:rsidR="00165938" w:rsidRPr="008A6D61" w:rsidRDefault="00165938" w:rsidP="00EA2784">
      <w:pPr>
        <w:pStyle w:val="N1-1stBullet"/>
        <w:spacing w:after="180"/>
        <w:rPr>
          <w:i/>
          <w:iCs/>
        </w:rPr>
      </w:pPr>
      <w:r w:rsidRPr="008A6D61">
        <w:rPr>
          <w:i/>
          <w:iCs/>
        </w:rPr>
        <w:t>Needs substantial intervention</w:t>
      </w:r>
      <w:r w:rsidR="000C7397" w:rsidRPr="008A6D61">
        <w:rPr>
          <w:iCs/>
        </w:rPr>
        <w:t>:</w:t>
      </w:r>
      <w:r w:rsidRPr="008A6D61">
        <w:t xml:space="preserve"> less than 4 points</w:t>
      </w:r>
    </w:p>
    <w:p w14:paraId="09CD2137" w14:textId="29079A7C" w:rsidR="00D622FD" w:rsidRPr="008A6D61" w:rsidRDefault="00FC080F" w:rsidP="001F610A">
      <w:pPr>
        <w:pStyle w:val="SL-FlLftSgl"/>
        <w:rPr>
          <w:lang w:val="en-US"/>
        </w:rPr>
      </w:pPr>
      <w:r w:rsidRPr="008A6D61">
        <w:rPr>
          <w:lang w:val="en-US"/>
        </w:rPr>
        <w:t xml:space="preserve">The remaining </w:t>
      </w:r>
      <w:r w:rsidR="0033345A" w:rsidRPr="008A6D61">
        <w:rPr>
          <w:lang w:val="en-US"/>
        </w:rPr>
        <w:t>states</w:t>
      </w:r>
      <w:r w:rsidRPr="008A6D61">
        <w:rPr>
          <w:lang w:val="en-US"/>
        </w:rPr>
        <w:t xml:space="preserve"> (</w:t>
      </w:r>
      <w:r w:rsidR="0033345A" w:rsidRPr="008A6D61">
        <w:rPr>
          <w:lang w:val="en-US"/>
        </w:rPr>
        <w:t>45.</w:t>
      </w:r>
      <w:r w:rsidR="00D14EA0" w:rsidRPr="008A6D61">
        <w:rPr>
          <w:lang w:val="en-US"/>
        </w:rPr>
        <w:t>5</w:t>
      </w:r>
      <w:r w:rsidR="0033345A" w:rsidRPr="008A6D61">
        <w:rPr>
          <w:lang w:val="en-US"/>
        </w:rPr>
        <w:t xml:space="preserve"> percent</w:t>
      </w:r>
      <w:r w:rsidRPr="008A6D61">
        <w:rPr>
          <w:lang w:val="en-US"/>
        </w:rPr>
        <w:t>,</w:t>
      </w:r>
      <w:r w:rsidR="00C80084" w:rsidRPr="008A6D61">
        <w:rPr>
          <w:lang w:val="en-US"/>
        </w:rPr>
        <w:t xml:space="preserve"> n=10)</w:t>
      </w:r>
      <w:r w:rsidR="00D622FD" w:rsidRPr="008A6D61">
        <w:rPr>
          <w:lang w:val="en-US"/>
        </w:rPr>
        <w:t xml:space="preserve"> use</w:t>
      </w:r>
      <w:r w:rsidR="0086581E" w:rsidRPr="008A6D61">
        <w:rPr>
          <w:lang w:val="en-US"/>
        </w:rPr>
        <w:t>d</w:t>
      </w:r>
      <w:r w:rsidR="00D622FD" w:rsidRPr="008A6D61">
        <w:rPr>
          <w:lang w:val="en-US"/>
        </w:rPr>
        <w:t xml:space="preserve"> </w:t>
      </w:r>
      <w:r w:rsidR="0033345A" w:rsidRPr="008A6D61">
        <w:rPr>
          <w:lang w:val="en-US"/>
        </w:rPr>
        <w:t>varying</w:t>
      </w:r>
      <w:r w:rsidR="00D622FD" w:rsidRPr="008A6D61">
        <w:rPr>
          <w:lang w:val="en-US"/>
        </w:rPr>
        <w:t xml:space="preserve"> methods to assign LEA determinations for particular determination categories. For example, </w:t>
      </w:r>
      <w:r w:rsidR="002976A8" w:rsidRPr="008A6D61">
        <w:rPr>
          <w:lang w:val="en-US"/>
        </w:rPr>
        <w:t>a state</w:t>
      </w:r>
      <w:r w:rsidR="00D622FD" w:rsidRPr="008A6D61">
        <w:rPr>
          <w:lang w:val="en-US"/>
        </w:rPr>
        <w:t xml:space="preserve"> </w:t>
      </w:r>
      <w:r w:rsidR="00A640DE" w:rsidRPr="008A6D61">
        <w:rPr>
          <w:lang w:val="en-US"/>
        </w:rPr>
        <w:t xml:space="preserve">could have </w:t>
      </w:r>
      <w:r w:rsidR="00493A2A" w:rsidRPr="008A6D61">
        <w:rPr>
          <w:lang w:val="en-US"/>
        </w:rPr>
        <w:t>assign</w:t>
      </w:r>
      <w:r w:rsidR="00A640DE" w:rsidRPr="008A6D61">
        <w:rPr>
          <w:lang w:val="en-US"/>
        </w:rPr>
        <w:t>ed</w:t>
      </w:r>
      <w:r w:rsidR="00493A2A" w:rsidRPr="008A6D61">
        <w:rPr>
          <w:lang w:val="en-US"/>
        </w:rPr>
        <w:t xml:space="preserve"> points to indicators</w:t>
      </w:r>
      <w:r w:rsidR="000C7397" w:rsidRPr="008A6D61">
        <w:rPr>
          <w:lang w:val="en-US"/>
        </w:rPr>
        <w:t xml:space="preserve"> and </w:t>
      </w:r>
      <w:r w:rsidR="00493A2A" w:rsidRPr="008A6D61">
        <w:rPr>
          <w:lang w:val="en-US"/>
        </w:rPr>
        <w:t>us</w:t>
      </w:r>
      <w:r w:rsidR="00FA327F" w:rsidRPr="008A6D61">
        <w:rPr>
          <w:lang w:val="en-US"/>
        </w:rPr>
        <w:t>e</w:t>
      </w:r>
      <w:r w:rsidR="009013DE" w:rsidRPr="008A6D61">
        <w:rPr>
          <w:lang w:val="en-US"/>
        </w:rPr>
        <w:t>d</w:t>
      </w:r>
      <w:r w:rsidR="00493A2A" w:rsidRPr="008A6D61">
        <w:rPr>
          <w:lang w:val="en-US"/>
        </w:rPr>
        <w:t xml:space="preserve"> the percentage of total possible points earned for</w:t>
      </w:r>
      <w:r w:rsidR="00D622FD" w:rsidRPr="008A6D61">
        <w:rPr>
          <w:lang w:val="en-US"/>
        </w:rPr>
        <w:t xml:space="preserve"> determination categories of </w:t>
      </w:r>
      <w:r w:rsidR="00D622FD" w:rsidRPr="008A6D61">
        <w:rPr>
          <w:i/>
          <w:iCs/>
          <w:lang w:val="en-US"/>
        </w:rPr>
        <w:t>meets requirements</w:t>
      </w:r>
      <w:r w:rsidR="00D622FD" w:rsidRPr="008A6D61">
        <w:rPr>
          <w:lang w:val="en-US"/>
        </w:rPr>
        <w:t xml:space="preserve"> or </w:t>
      </w:r>
      <w:r w:rsidR="00D622FD" w:rsidRPr="008A6D61">
        <w:rPr>
          <w:i/>
          <w:iCs/>
          <w:lang w:val="en-US"/>
        </w:rPr>
        <w:t>needs assistance</w:t>
      </w:r>
      <w:r w:rsidR="009013DE" w:rsidRPr="008A6D61">
        <w:rPr>
          <w:i/>
          <w:iCs/>
          <w:lang w:val="en-US"/>
        </w:rPr>
        <w:t xml:space="preserve"> </w:t>
      </w:r>
      <w:r w:rsidR="00D622FD" w:rsidRPr="008A6D61">
        <w:rPr>
          <w:lang w:val="en-US"/>
        </w:rPr>
        <w:t>but</w:t>
      </w:r>
      <w:r w:rsidR="00493A2A" w:rsidRPr="008A6D61">
        <w:rPr>
          <w:lang w:val="en-US"/>
        </w:rPr>
        <w:t xml:space="preserve"> different methods for assign</w:t>
      </w:r>
      <w:r w:rsidR="000C7397" w:rsidRPr="008A6D61">
        <w:rPr>
          <w:lang w:val="en-US"/>
        </w:rPr>
        <w:t xml:space="preserve">ing </w:t>
      </w:r>
      <w:r w:rsidR="00493A2A" w:rsidRPr="008A6D61">
        <w:rPr>
          <w:lang w:val="en-US"/>
        </w:rPr>
        <w:t xml:space="preserve">the determination categories </w:t>
      </w:r>
      <w:r w:rsidR="00493A2A" w:rsidRPr="008A6D61">
        <w:rPr>
          <w:i/>
          <w:iCs/>
          <w:lang w:val="en-US"/>
        </w:rPr>
        <w:t xml:space="preserve">needs intervention </w:t>
      </w:r>
      <w:r w:rsidR="00493A2A" w:rsidRPr="008A6D61">
        <w:rPr>
          <w:lang w:val="en-US"/>
        </w:rPr>
        <w:t xml:space="preserve">and </w:t>
      </w:r>
      <w:r w:rsidR="00493A2A" w:rsidRPr="008A6D61">
        <w:rPr>
          <w:i/>
          <w:iCs/>
          <w:lang w:val="en-US"/>
        </w:rPr>
        <w:t xml:space="preserve">needs substantial intervention </w:t>
      </w:r>
      <w:r w:rsidR="00493A2A" w:rsidRPr="008A6D61">
        <w:rPr>
          <w:lang w:val="en-US"/>
        </w:rPr>
        <w:t>(see below):</w:t>
      </w:r>
    </w:p>
    <w:p w14:paraId="6F50B272" w14:textId="1E5004D9" w:rsidR="00493A2A" w:rsidRPr="008A6D61" w:rsidRDefault="00493A2A" w:rsidP="001F610A">
      <w:pPr>
        <w:pStyle w:val="N1-1stBullet"/>
      </w:pPr>
      <w:r w:rsidRPr="008A6D61">
        <w:rPr>
          <w:i/>
          <w:iCs/>
        </w:rPr>
        <w:t>Meets requirements</w:t>
      </w:r>
      <w:r w:rsidR="000C7397" w:rsidRPr="008A6D61">
        <w:rPr>
          <w:iCs/>
        </w:rPr>
        <w:t xml:space="preserve">: </w:t>
      </w:r>
      <w:r w:rsidRPr="008A6D61">
        <w:t>90 percent or more of total possible points earned</w:t>
      </w:r>
    </w:p>
    <w:p w14:paraId="485A5037" w14:textId="7ED6B6F2" w:rsidR="00493A2A" w:rsidRPr="008A6D61" w:rsidRDefault="00493A2A" w:rsidP="001F610A">
      <w:pPr>
        <w:pStyle w:val="N1-1stBullet"/>
      </w:pPr>
      <w:r w:rsidRPr="008A6D61">
        <w:rPr>
          <w:i/>
          <w:iCs/>
        </w:rPr>
        <w:t>Needs assistance</w:t>
      </w:r>
      <w:r w:rsidR="000C7397" w:rsidRPr="008A6D61">
        <w:rPr>
          <w:iCs/>
        </w:rPr>
        <w:t>:</w:t>
      </w:r>
      <w:r w:rsidRPr="008A6D61">
        <w:t xml:space="preserve"> 75 percent to less than 90 percent of total possible points earned</w:t>
      </w:r>
    </w:p>
    <w:p w14:paraId="21F7FEBA" w14:textId="09E8EBA5" w:rsidR="00493A2A" w:rsidRPr="008A6D61" w:rsidRDefault="00493A2A" w:rsidP="001F610A">
      <w:pPr>
        <w:pStyle w:val="N1-1stBullet"/>
      </w:pPr>
      <w:r w:rsidRPr="008A6D61">
        <w:rPr>
          <w:i/>
          <w:iCs/>
        </w:rPr>
        <w:t>Needs intervention</w:t>
      </w:r>
      <w:r w:rsidR="000C7397" w:rsidRPr="008A6D61">
        <w:rPr>
          <w:iCs/>
        </w:rPr>
        <w:t>:</w:t>
      </w:r>
      <w:r w:rsidR="000C7397" w:rsidRPr="008A6D61">
        <w:t xml:space="preserve"> </w:t>
      </w:r>
      <w:r w:rsidRPr="008A6D61">
        <w:t xml:space="preserve">LEA falls in </w:t>
      </w:r>
      <w:r w:rsidRPr="008A6D61">
        <w:rPr>
          <w:i/>
          <w:iCs/>
        </w:rPr>
        <w:t xml:space="preserve">needs assistance </w:t>
      </w:r>
      <w:r w:rsidRPr="008A6D61">
        <w:t xml:space="preserve">category for </w:t>
      </w:r>
      <w:r w:rsidR="00483943" w:rsidRPr="008A6D61">
        <w:t xml:space="preserve">3 </w:t>
      </w:r>
      <w:r w:rsidRPr="008A6D61">
        <w:t xml:space="preserve">consecutive years OR </w:t>
      </w:r>
      <w:r w:rsidR="000C7397" w:rsidRPr="008A6D61">
        <w:t xml:space="preserve">earns </w:t>
      </w:r>
      <w:r w:rsidRPr="008A6D61">
        <w:t>less than 75</w:t>
      </w:r>
      <w:r w:rsidR="00195AD0" w:rsidRPr="008A6D61">
        <w:t> </w:t>
      </w:r>
      <w:r w:rsidRPr="008A6D61">
        <w:t>percent of total possible points</w:t>
      </w:r>
    </w:p>
    <w:p w14:paraId="2BB92E12" w14:textId="30CFCAD6" w:rsidR="00493A2A" w:rsidRPr="008A6D61" w:rsidRDefault="00493A2A" w:rsidP="00195AD0">
      <w:pPr>
        <w:pStyle w:val="N1-1stBullet"/>
        <w:spacing w:after="180"/>
      </w:pPr>
      <w:r w:rsidRPr="008A6D61">
        <w:rPr>
          <w:i/>
          <w:iCs/>
        </w:rPr>
        <w:t>Needs substantial intervention</w:t>
      </w:r>
      <w:r w:rsidR="000C7397" w:rsidRPr="008A6D61">
        <w:rPr>
          <w:iCs/>
        </w:rPr>
        <w:t>:</w:t>
      </w:r>
      <w:r w:rsidRPr="008A6D61">
        <w:t xml:space="preserve"> LEA falls into </w:t>
      </w:r>
      <w:r w:rsidRPr="008A6D61">
        <w:rPr>
          <w:i/>
          <w:iCs/>
        </w:rPr>
        <w:t xml:space="preserve">needs intervention </w:t>
      </w:r>
      <w:r w:rsidRPr="008A6D61">
        <w:t xml:space="preserve">for </w:t>
      </w:r>
      <w:r w:rsidR="00483943" w:rsidRPr="008A6D61">
        <w:t xml:space="preserve">3 </w:t>
      </w:r>
      <w:r w:rsidRPr="008A6D61">
        <w:t>consecutive years</w:t>
      </w:r>
    </w:p>
    <w:p w14:paraId="7A7892A9" w14:textId="108078AA" w:rsidR="001E744D" w:rsidRPr="008A6D61" w:rsidRDefault="001E744D" w:rsidP="00195AD0">
      <w:pPr>
        <w:pStyle w:val="SL-FlLftSgl"/>
        <w:spacing w:after="290"/>
        <w:rPr>
          <w:lang w:val="en-US"/>
        </w:rPr>
      </w:pPr>
      <w:r w:rsidRPr="008A6D61">
        <w:rPr>
          <w:lang w:val="en-US"/>
        </w:rPr>
        <w:t xml:space="preserve">For more details about the different methods states </w:t>
      </w:r>
      <w:r w:rsidR="000C7397" w:rsidRPr="008A6D61">
        <w:rPr>
          <w:lang w:val="en-US"/>
        </w:rPr>
        <w:t>use</w:t>
      </w:r>
      <w:r w:rsidR="006A64F2" w:rsidRPr="008A6D61">
        <w:rPr>
          <w:lang w:val="en-US"/>
        </w:rPr>
        <w:t>d</w:t>
      </w:r>
      <w:r w:rsidR="000C7397" w:rsidRPr="008A6D61">
        <w:rPr>
          <w:lang w:val="en-US"/>
        </w:rPr>
        <w:t xml:space="preserve"> </w:t>
      </w:r>
      <w:r w:rsidRPr="008A6D61">
        <w:rPr>
          <w:lang w:val="en-US"/>
        </w:rPr>
        <w:t xml:space="preserve">to assign LEA determination categories, see </w:t>
      </w:r>
      <w:hyperlink w:anchor="Appendix_B" w:history="1">
        <w:r w:rsidR="00483943" w:rsidRPr="008A6D61">
          <w:rPr>
            <w:rStyle w:val="Hyperlink"/>
            <w:lang w:val="en-US"/>
          </w:rPr>
          <w:t>a</w:t>
        </w:r>
        <w:r w:rsidRPr="008A6D61">
          <w:rPr>
            <w:rStyle w:val="Hyperlink"/>
            <w:lang w:val="en-US"/>
          </w:rPr>
          <w:t>ppendix</w:t>
        </w:r>
        <w:r w:rsidR="005B1425" w:rsidRPr="008A6D61">
          <w:rPr>
            <w:rStyle w:val="Hyperlink"/>
            <w:lang w:val="en-US"/>
          </w:rPr>
          <w:t xml:space="preserve"> B</w:t>
        </w:r>
        <w:r w:rsidRPr="008A6D61">
          <w:rPr>
            <w:rStyle w:val="Hyperlink"/>
            <w:lang w:val="en-US"/>
          </w:rPr>
          <w:t>.</w:t>
        </w:r>
      </w:hyperlink>
    </w:p>
    <w:p w14:paraId="57D864B5" w14:textId="1982658A" w:rsidR="00662841" w:rsidRPr="008A6D61" w:rsidRDefault="00D14EA0" w:rsidP="001F610A">
      <w:pPr>
        <w:pStyle w:val="Heading2"/>
      </w:pPr>
      <w:r w:rsidRPr="008A6D61">
        <w:lastRenderedPageBreak/>
        <w:t>Conclusion</w:t>
      </w:r>
    </w:p>
    <w:p w14:paraId="1800B4D2" w14:textId="180FD080" w:rsidR="008B2598" w:rsidRPr="008A6D61" w:rsidRDefault="00CF635C" w:rsidP="001F610A">
      <w:pPr>
        <w:pStyle w:val="SL-FlLftSgl"/>
        <w:rPr>
          <w:lang w:val="en-US"/>
        </w:rPr>
      </w:pPr>
      <w:r w:rsidRPr="008A6D61">
        <w:rPr>
          <w:lang w:val="en-US"/>
        </w:rPr>
        <w:t xml:space="preserve">LEA determinations are an important </w:t>
      </w:r>
      <w:r w:rsidR="00687970" w:rsidRPr="008A6D61">
        <w:rPr>
          <w:lang w:val="en-US"/>
        </w:rPr>
        <w:t>component of state monitoring and enforcement (§</w:t>
      </w:r>
      <w:r w:rsidR="00483943" w:rsidRPr="008A6D61">
        <w:rPr>
          <w:lang w:val="en-US"/>
        </w:rPr>
        <w:t xml:space="preserve"> </w:t>
      </w:r>
      <w:r w:rsidR="00687970" w:rsidRPr="008A6D61">
        <w:rPr>
          <w:lang w:val="en-US"/>
        </w:rPr>
        <w:t xml:space="preserve">300.600 of IDEA Part B regulations). </w:t>
      </w:r>
      <w:r w:rsidR="00AA197A" w:rsidRPr="008A6D61">
        <w:rPr>
          <w:lang w:val="en-US"/>
        </w:rPr>
        <w:t>As noted in § 300.600(b)(2),</w:t>
      </w:r>
      <w:r w:rsidR="00AA197A" w:rsidRPr="008A6D61" w:rsidDel="00AA197A">
        <w:rPr>
          <w:lang w:val="en-US"/>
        </w:rPr>
        <w:t xml:space="preserve"> </w:t>
      </w:r>
      <w:r w:rsidR="00AA197A" w:rsidRPr="008A6D61">
        <w:rPr>
          <w:lang w:val="en-US"/>
        </w:rPr>
        <w:t xml:space="preserve">the determinations </w:t>
      </w:r>
      <w:r w:rsidR="00687970" w:rsidRPr="008A6D61">
        <w:rPr>
          <w:lang w:val="en-US"/>
        </w:rPr>
        <w:t>help states to assess LEA performance across various indicators and data elements to “ensure that public agencies meet the program requirements under Part B of the Act, with a particular emphasis on those requirements that are most closely related to improving educational results for children with disabilities”</w:t>
      </w:r>
      <w:r w:rsidR="008A19F1" w:rsidRPr="008A6D61">
        <w:rPr>
          <w:lang w:val="en-US"/>
        </w:rPr>
        <w:t xml:space="preserve"> (</w:t>
      </w:r>
      <w:r w:rsidR="00D94240" w:rsidRPr="008A6D61">
        <w:rPr>
          <w:lang w:val="en-US"/>
        </w:rPr>
        <w:t xml:space="preserve">U.S. Department of Education </w:t>
      </w:r>
      <w:r w:rsidR="00AA197A" w:rsidRPr="008A6D61">
        <w:rPr>
          <w:lang w:val="en-US"/>
        </w:rPr>
        <w:t>n.d.</w:t>
      </w:r>
      <w:r w:rsidR="00537AB5" w:rsidRPr="008A6D61">
        <w:rPr>
          <w:lang w:val="en-US"/>
        </w:rPr>
        <w:t>-d</w:t>
      </w:r>
      <w:r w:rsidR="00D94240" w:rsidRPr="008A6D61">
        <w:rPr>
          <w:lang w:val="en-US"/>
        </w:rPr>
        <w:t>)</w:t>
      </w:r>
      <w:r w:rsidR="00A640DE" w:rsidRPr="008A6D61">
        <w:rPr>
          <w:lang w:val="en-US"/>
        </w:rPr>
        <w:t>.</w:t>
      </w:r>
      <w:r w:rsidR="00687970" w:rsidRPr="008A6D61">
        <w:rPr>
          <w:lang w:val="en-US"/>
        </w:rPr>
        <w:t xml:space="preserve"> This </w:t>
      </w:r>
      <w:r w:rsidR="001F1F5E" w:rsidRPr="008A6D61">
        <w:rPr>
          <w:lang w:val="en-US"/>
        </w:rPr>
        <w:t>resource</w:t>
      </w:r>
      <w:r w:rsidR="00687970" w:rsidRPr="008A6D61">
        <w:rPr>
          <w:lang w:val="en-US"/>
        </w:rPr>
        <w:t xml:space="preserve"> provide</w:t>
      </w:r>
      <w:r w:rsidR="000D26C0" w:rsidRPr="008A6D61">
        <w:rPr>
          <w:lang w:val="en-US"/>
        </w:rPr>
        <w:t>d</w:t>
      </w:r>
      <w:r w:rsidR="00687970" w:rsidRPr="008A6D61">
        <w:rPr>
          <w:lang w:val="en-US"/>
        </w:rPr>
        <w:t xml:space="preserve"> details about </w:t>
      </w:r>
      <w:r w:rsidR="008B2598" w:rsidRPr="008A6D61">
        <w:rPr>
          <w:lang w:val="en-US"/>
        </w:rPr>
        <w:t>data elements</w:t>
      </w:r>
      <w:r w:rsidR="003A7599" w:rsidRPr="008A6D61">
        <w:rPr>
          <w:lang w:val="en-US"/>
        </w:rPr>
        <w:t xml:space="preserve"> </w:t>
      </w:r>
      <w:r w:rsidR="00D94240" w:rsidRPr="008A6D61">
        <w:rPr>
          <w:lang w:val="en-US"/>
        </w:rPr>
        <w:t xml:space="preserve">28 states with LEA determinations information publicly posted </w:t>
      </w:r>
      <w:r w:rsidR="008B2598" w:rsidRPr="008A6D61">
        <w:rPr>
          <w:lang w:val="en-US"/>
        </w:rPr>
        <w:t xml:space="preserve">included in </w:t>
      </w:r>
      <w:r w:rsidR="0007437D" w:rsidRPr="008A6D61">
        <w:rPr>
          <w:lang w:val="en-US"/>
        </w:rPr>
        <w:t xml:space="preserve">their </w:t>
      </w:r>
      <w:r w:rsidR="008B2598" w:rsidRPr="008A6D61">
        <w:rPr>
          <w:lang w:val="en-US"/>
        </w:rPr>
        <w:t>LEA determinations processes, methodologies</w:t>
      </w:r>
      <w:r w:rsidR="00D94240" w:rsidRPr="008A6D61">
        <w:rPr>
          <w:lang w:val="en-US"/>
        </w:rPr>
        <w:t xml:space="preserve"> they </w:t>
      </w:r>
      <w:r w:rsidR="008B2598" w:rsidRPr="008A6D61">
        <w:rPr>
          <w:lang w:val="en-US"/>
        </w:rPr>
        <w:t xml:space="preserve">used for calculating LEA determinations, and criteria </w:t>
      </w:r>
      <w:r w:rsidR="00D94240" w:rsidRPr="008A6D61">
        <w:rPr>
          <w:lang w:val="en-US"/>
        </w:rPr>
        <w:t xml:space="preserve">they </w:t>
      </w:r>
      <w:r w:rsidR="008B2598" w:rsidRPr="008A6D61">
        <w:rPr>
          <w:lang w:val="en-US"/>
        </w:rPr>
        <w:t>used for issuing LEA determinations</w:t>
      </w:r>
      <w:r w:rsidR="00DC01FC" w:rsidRPr="008A6D61">
        <w:rPr>
          <w:lang w:val="en-US"/>
        </w:rPr>
        <w:t>.</w:t>
      </w:r>
      <w:r w:rsidR="002246AE" w:rsidRPr="008A6D61">
        <w:rPr>
          <w:lang w:val="en-US"/>
        </w:rPr>
        <w:t xml:space="preserve"> </w:t>
      </w:r>
    </w:p>
    <w:p w14:paraId="0EE68831" w14:textId="629614CD" w:rsidR="006C660F" w:rsidRPr="008A6D61" w:rsidRDefault="00A91344" w:rsidP="001F610A">
      <w:pPr>
        <w:pStyle w:val="SL-FlLftSgl"/>
        <w:rPr>
          <w:iCs/>
          <w:color w:val="455A64"/>
          <w:lang w:val="en-US"/>
        </w:rPr>
      </w:pPr>
      <w:r w:rsidRPr="008A6D61">
        <w:rPr>
          <w:iCs/>
          <w:lang w:val="en-US"/>
        </w:rPr>
        <w:t xml:space="preserve">The latitude states have in </w:t>
      </w:r>
      <w:r w:rsidR="003A7599" w:rsidRPr="008A6D61">
        <w:rPr>
          <w:iCs/>
          <w:lang w:val="en-US"/>
        </w:rPr>
        <w:t xml:space="preserve">assigning </w:t>
      </w:r>
      <w:r w:rsidRPr="008A6D61">
        <w:rPr>
          <w:iCs/>
          <w:lang w:val="en-US"/>
        </w:rPr>
        <w:t xml:space="preserve">LEA determinations provides a unique opportunity for states not only </w:t>
      </w:r>
      <w:r w:rsidR="003A7599" w:rsidRPr="008A6D61">
        <w:rPr>
          <w:iCs/>
          <w:lang w:val="en-US"/>
        </w:rPr>
        <w:t xml:space="preserve">to </w:t>
      </w:r>
      <w:r w:rsidRPr="008A6D61">
        <w:rPr>
          <w:iCs/>
          <w:lang w:val="en-US"/>
        </w:rPr>
        <w:t>meet IDEA Part B regulation requirements</w:t>
      </w:r>
      <w:r w:rsidR="00C93511" w:rsidRPr="008A6D61">
        <w:rPr>
          <w:iCs/>
          <w:lang w:val="en-US"/>
        </w:rPr>
        <w:t xml:space="preserve"> but also to develop a meaningful process that can help </w:t>
      </w:r>
      <w:r w:rsidR="003A7599" w:rsidRPr="008A6D61">
        <w:rPr>
          <w:iCs/>
          <w:lang w:val="en-US"/>
        </w:rPr>
        <w:t xml:space="preserve">them </w:t>
      </w:r>
      <w:r w:rsidR="00C93511" w:rsidRPr="008A6D61">
        <w:rPr>
          <w:iCs/>
          <w:lang w:val="en-US"/>
        </w:rPr>
        <w:t xml:space="preserve">assess LEA performance in improving educational results for </w:t>
      </w:r>
      <w:r w:rsidR="003A7599" w:rsidRPr="008A6D61">
        <w:rPr>
          <w:iCs/>
          <w:lang w:val="en-US"/>
        </w:rPr>
        <w:t>children and youth</w:t>
      </w:r>
      <w:r w:rsidR="00C93511" w:rsidRPr="008A6D61">
        <w:rPr>
          <w:iCs/>
          <w:lang w:val="en-US"/>
        </w:rPr>
        <w:t xml:space="preserve"> with disabilities. </w:t>
      </w:r>
      <w:r w:rsidR="003A7599" w:rsidRPr="008A6D61">
        <w:rPr>
          <w:iCs/>
          <w:lang w:val="en-US"/>
        </w:rPr>
        <w:t xml:space="preserve">States and their LEAs can use </w:t>
      </w:r>
      <w:r w:rsidR="00C93511" w:rsidRPr="008A6D61">
        <w:rPr>
          <w:iCs/>
          <w:lang w:val="en-US"/>
        </w:rPr>
        <w:t>LEA determinations in diverse ways to convey state priorities, identify LEA needs, and allocate LEA resources and supports.</w:t>
      </w:r>
    </w:p>
    <w:p w14:paraId="652A6E86" w14:textId="77777777" w:rsidR="00CC15AB" w:rsidRPr="008A6D61" w:rsidRDefault="00CC15AB" w:rsidP="00413A02">
      <w:pPr>
        <w:pStyle w:val="Heading2"/>
        <w:keepNext w:val="0"/>
        <w:keepLines w:val="0"/>
        <w:widowControl w:val="0"/>
        <w:spacing w:before="67" w:after="0" w:line="360" w:lineRule="exact"/>
        <w:ind w:right="1348"/>
        <w:rPr>
          <w:rFonts w:ascii="Calibri" w:eastAsia="Calibri" w:hAnsi="Calibri" w:cstheme="minorBidi"/>
          <w:color w:val="019387"/>
          <w:spacing w:val="-4"/>
          <w:w w:val="105"/>
        </w:rPr>
        <w:sectPr w:rsidR="00CC15AB" w:rsidRPr="008A6D61" w:rsidSect="008F2F3F">
          <w:footerReference w:type="default" r:id="rId29"/>
          <w:headerReference w:type="first" r:id="rId30"/>
          <w:footerReference w:type="first" r:id="rId31"/>
          <w:type w:val="continuous"/>
          <w:pgSz w:w="12240" w:h="15840" w:code="1"/>
          <w:pgMar w:top="1440" w:right="1440" w:bottom="1440" w:left="1440" w:header="720" w:footer="720" w:gutter="0"/>
          <w:pgNumType w:start="3"/>
          <w:cols w:space="166"/>
          <w:titlePg/>
          <w:docGrid w:linePitch="360"/>
        </w:sectPr>
      </w:pPr>
      <w:bookmarkStart w:id="1" w:name="_Appendix_A"/>
      <w:bookmarkEnd w:id="1"/>
    </w:p>
    <w:p w14:paraId="23A7617F" w14:textId="055D3E44" w:rsidR="00CE2B2F" w:rsidRPr="008A6D61" w:rsidRDefault="00CE2B2F" w:rsidP="001F610A">
      <w:pPr>
        <w:pStyle w:val="Heading2"/>
        <w:rPr>
          <w:rFonts w:eastAsia="Calibri"/>
          <w:w w:val="105"/>
        </w:rPr>
      </w:pPr>
      <w:bookmarkStart w:id="2" w:name="Appendix_A"/>
      <w:r w:rsidRPr="008A6D61">
        <w:rPr>
          <w:rFonts w:eastAsia="Calibri"/>
          <w:w w:val="105"/>
        </w:rPr>
        <w:lastRenderedPageBreak/>
        <w:t>Appendix</w:t>
      </w:r>
      <w:r w:rsidR="009466F1" w:rsidRPr="008A6D61">
        <w:rPr>
          <w:rFonts w:eastAsia="Calibri"/>
          <w:w w:val="105"/>
        </w:rPr>
        <w:t xml:space="preserve"> A</w:t>
      </w:r>
    </w:p>
    <w:bookmarkEnd w:id="2"/>
    <w:p w14:paraId="6754147C" w14:textId="638E112D" w:rsidR="00CE2B2F" w:rsidRPr="008A6D61" w:rsidRDefault="0082155D" w:rsidP="001F610A">
      <w:pPr>
        <w:pStyle w:val="SL-FlLftSgl"/>
        <w:rPr>
          <w:lang w:val="en-US"/>
        </w:rPr>
      </w:pPr>
      <w:r w:rsidRPr="008A6D61">
        <w:rPr>
          <w:lang w:val="en-US"/>
        </w:rPr>
        <w:t>T</w:t>
      </w:r>
      <w:r w:rsidR="00CE2B2F" w:rsidRPr="008A6D61">
        <w:rPr>
          <w:lang w:val="en-US"/>
        </w:rPr>
        <w:t xml:space="preserve">he </w:t>
      </w:r>
      <w:r w:rsidR="00F15A05" w:rsidRPr="008A6D61">
        <w:rPr>
          <w:lang w:val="en-US"/>
        </w:rPr>
        <w:t>components</w:t>
      </w:r>
      <w:r w:rsidR="00CE2B2F" w:rsidRPr="008A6D61">
        <w:rPr>
          <w:lang w:val="en-US"/>
        </w:rPr>
        <w:t xml:space="preserve"> </w:t>
      </w:r>
      <w:r w:rsidR="00C42C1B" w:rsidRPr="008A6D61">
        <w:rPr>
          <w:lang w:val="en-US"/>
        </w:rPr>
        <w:t>I</w:t>
      </w:r>
      <w:r w:rsidR="00657EEF" w:rsidRPr="008A6D61">
        <w:rPr>
          <w:lang w:val="en-US"/>
        </w:rPr>
        <w:t xml:space="preserve">DC </w:t>
      </w:r>
      <w:r w:rsidR="00CE2B2F" w:rsidRPr="008A6D61">
        <w:rPr>
          <w:lang w:val="en-US"/>
        </w:rPr>
        <w:t xml:space="preserve">used to collect and aggregate information </w:t>
      </w:r>
      <w:r w:rsidR="00E3519E" w:rsidRPr="008A6D61">
        <w:rPr>
          <w:lang w:val="en-US"/>
        </w:rPr>
        <w:t xml:space="preserve">from 28 </w:t>
      </w:r>
      <w:r w:rsidR="00CE2B2F" w:rsidRPr="008A6D61">
        <w:rPr>
          <w:lang w:val="en-US"/>
        </w:rPr>
        <w:t>states</w:t>
      </w:r>
      <w:r w:rsidRPr="008A6D61">
        <w:rPr>
          <w:lang w:val="en-US"/>
        </w:rPr>
        <w:t>’</w:t>
      </w:r>
      <w:r w:rsidR="00CE2B2F" w:rsidRPr="008A6D61">
        <w:rPr>
          <w:lang w:val="en-US"/>
        </w:rPr>
        <w:t xml:space="preserve"> LEA determinations processes</w:t>
      </w:r>
      <w:r w:rsidRPr="008A6D61">
        <w:rPr>
          <w:lang w:val="en-US"/>
        </w:rPr>
        <w:t xml:space="preserve"> follow</w:t>
      </w:r>
      <w:r w:rsidR="00CE2B2F" w:rsidRPr="008A6D61">
        <w:rPr>
          <w:lang w:val="en-US"/>
        </w:rPr>
        <w:t>.</w:t>
      </w:r>
      <w:r w:rsidR="00BB2351" w:rsidRPr="008A6D61">
        <w:rPr>
          <w:lang w:val="en-US"/>
        </w:rPr>
        <w:t xml:space="preserve"> </w:t>
      </w:r>
      <w:r w:rsidRPr="008A6D61">
        <w:rPr>
          <w:lang w:val="en-US"/>
        </w:rPr>
        <w:t>IDC designed t</w:t>
      </w:r>
      <w:r w:rsidR="00BB2351" w:rsidRPr="008A6D61">
        <w:rPr>
          <w:lang w:val="en-US"/>
        </w:rPr>
        <w:t>he</w:t>
      </w:r>
      <w:r w:rsidR="00657EEF" w:rsidRPr="008A6D61">
        <w:rPr>
          <w:lang w:val="en-US"/>
        </w:rPr>
        <w:t>se</w:t>
      </w:r>
      <w:r w:rsidR="00BB2351" w:rsidRPr="008A6D61">
        <w:rPr>
          <w:lang w:val="en-US"/>
        </w:rPr>
        <w:t xml:space="preserve"> questions to gather consistent information across all states</w:t>
      </w:r>
      <w:r w:rsidRPr="008A6D61">
        <w:rPr>
          <w:lang w:val="en-US"/>
        </w:rPr>
        <w:t>, based on the availability of information,</w:t>
      </w:r>
      <w:r w:rsidR="00BB2351" w:rsidRPr="008A6D61">
        <w:rPr>
          <w:lang w:val="en-US"/>
        </w:rPr>
        <w:t xml:space="preserve"> for uniform analy</w:t>
      </w:r>
      <w:r w:rsidR="001C35D8" w:rsidRPr="008A6D61">
        <w:rPr>
          <w:lang w:val="en-US"/>
        </w:rPr>
        <w:t>sis of state LEA determinations</w:t>
      </w:r>
      <w:r w:rsidR="00BB2351" w:rsidRPr="008A6D61">
        <w:rPr>
          <w:lang w:val="en-US"/>
        </w:rPr>
        <w:t xml:space="preserve">. Some states did not provide details or nuanced information to </w:t>
      </w:r>
      <w:r w:rsidR="00931319" w:rsidRPr="008A6D61">
        <w:rPr>
          <w:lang w:val="en-US"/>
        </w:rPr>
        <w:t>address one or more of the questions (e.g., criteria for determination categories)</w:t>
      </w:r>
      <w:r w:rsidR="00FA4652" w:rsidRPr="008A6D61">
        <w:rPr>
          <w:lang w:val="en-US"/>
        </w:rPr>
        <w:t xml:space="preserve">. </w:t>
      </w:r>
      <w:r w:rsidR="00B07A24" w:rsidRPr="008A6D61">
        <w:rPr>
          <w:lang w:val="en-US"/>
        </w:rPr>
        <w:t xml:space="preserve">In these cases, </w:t>
      </w:r>
      <w:r w:rsidRPr="008A6D61">
        <w:rPr>
          <w:lang w:val="en-US"/>
        </w:rPr>
        <w:t>IDC excluded</w:t>
      </w:r>
      <w:r w:rsidR="00931319" w:rsidRPr="008A6D61">
        <w:rPr>
          <w:lang w:val="en-US"/>
        </w:rPr>
        <w:t xml:space="preserve"> the states from calculations and analysis of particular areas or reported </w:t>
      </w:r>
      <w:r w:rsidR="000F4434" w:rsidRPr="008A6D61">
        <w:rPr>
          <w:lang w:val="en-US"/>
        </w:rPr>
        <w:t xml:space="preserve">them </w:t>
      </w:r>
      <w:r w:rsidR="00931319" w:rsidRPr="008A6D61">
        <w:rPr>
          <w:lang w:val="en-US"/>
        </w:rPr>
        <w:t>as having such questions unspecified.</w:t>
      </w:r>
    </w:p>
    <w:p w14:paraId="1FA2C09A" w14:textId="4A29A40D" w:rsidR="00CE2B2F" w:rsidRPr="008A6D61" w:rsidRDefault="00CE2B2F" w:rsidP="004F1FD3">
      <w:pPr>
        <w:pStyle w:val="N0-FlLftBullet"/>
        <w:tabs>
          <w:tab w:val="clear" w:pos="576"/>
        </w:tabs>
        <w:ind w:left="720" w:hanging="720"/>
        <w:rPr>
          <w:b/>
          <w:bCs/>
        </w:rPr>
      </w:pPr>
      <w:r w:rsidRPr="008A6D61">
        <w:rPr>
          <w:b/>
          <w:bCs/>
        </w:rPr>
        <w:t>Q1.</w:t>
      </w:r>
      <w:r w:rsidR="00CC15AB" w:rsidRPr="008A6D61">
        <w:rPr>
          <w:b/>
          <w:bCs/>
        </w:rPr>
        <w:tab/>
      </w:r>
      <w:r w:rsidRPr="008A6D61">
        <w:rPr>
          <w:b/>
          <w:bCs/>
        </w:rPr>
        <w:t xml:space="preserve">Compliance Indicators Used? (Y/N) </w:t>
      </w:r>
    </w:p>
    <w:p w14:paraId="41C38878" w14:textId="401BE7C9" w:rsidR="00CE2B2F" w:rsidRPr="008A6D61" w:rsidRDefault="001F610A" w:rsidP="004F1FD3">
      <w:pPr>
        <w:pStyle w:val="N0-FlLftBullet"/>
        <w:tabs>
          <w:tab w:val="clear" w:pos="576"/>
        </w:tabs>
        <w:ind w:left="720" w:hanging="720"/>
      </w:pPr>
      <w:r w:rsidRPr="008A6D61">
        <w:tab/>
      </w:r>
      <w:r w:rsidR="00CE2B2F" w:rsidRPr="008A6D61">
        <w:t xml:space="preserve">Are </w:t>
      </w:r>
      <w:r w:rsidR="00931319" w:rsidRPr="008A6D61">
        <w:t xml:space="preserve">any </w:t>
      </w:r>
      <w:r w:rsidR="00BB2351" w:rsidRPr="008A6D61">
        <w:t>SPP/</w:t>
      </w:r>
      <w:r w:rsidR="00CE2B2F" w:rsidRPr="008A6D61">
        <w:t>APR compliance indicators used in the state</w:t>
      </w:r>
      <w:r w:rsidR="00B07A24" w:rsidRPr="008A6D61">
        <w:t>'</w:t>
      </w:r>
      <w:r w:rsidR="00CE2B2F" w:rsidRPr="008A6D61">
        <w:t xml:space="preserve">s </w:t>
      </w:r>
      <w:r w:rsidR="00BB2351" w:rsidRPr="008A6D61">
        <w:t>SPP/</w:t>
      </w:r>
      <w:r w:rsidR="00CE2B2F" w:rsidRPr="008A6D61">
        <w:t>APR local determinations calculations? Note</w:t>
      </w:r>
      <w:r w:rsidR="00BB2351" w:rsidRPr="008A6D61">
        <w:t>:</w:t>
      </w:r>
      <w:r w:rsidR="00CE2B2F" w:rsidRPr="008A6D61">
        <w:t xml:space="preserve"> compliance indicators are 4B, 9, 10, 11, 12, and 13.</w:t>
      </w:r>
    </w:p>
    <w:p w14:paraId="00C26725" w14:textId="1A58D7AA" w:rsidR="00CE2B2F" w:rsidRPr="008A6D61" w:rsidRDefault="00CE2B2F" w:rsidP="004F1FD3">
      <w:pPr>
        <w:pStyle w:val="N0-FlLftBullet"/>
        <w:tabs>
          <w:tab w:val="clear" w:pos="576"/>
        </w:tabs>
        <w:ind w:left="720" w:hanging="720"/>
        <w:rPr>
          <w:b/>
          <w:bCs/>
        </w:rPr>
      </w:pPr>
      <w:r w:rsidRPr="008A6D61">
        <w:rPr>
          <w:b/>
          <w:bCs/>
        </w:rPr>
        <w:t>Q2</w:t>
      </w:r>
      <w:r w:rsidR="00912A27" w:rsidRPr="008A6D61">
        <w:rPr>
          <w:b/>
          <w:bCs/>
        </w:rPr>
        <w:t>.</w:t>
      </w:r>
      <w:r w:rsidR="00912A27" w:rsidRPr="008A6D61">
        <w:rPr>
          <w:b/>
          <w:bCs/>
        </w:rPr>
        <w:tab/>
      </w:r>
      <w:r w:rsidRPr="008A6D61">
        <w:rPr>
          <w:b/>
          <w:bCs/>
        </w:rPr>
        <w:t>Results Indicators Used? (Y/N)</w:t>
      </w:r>
    </w:p>
    <w:p w14:paraId="4C6EE5AC" w14:textId="6DF0BE6C" w:rsidR="000C70F3" w:rsidRPr="008A6D61" w:rsidRDefault="001F610A" w:rsidP="004F1FD3">
      <w:pPr>
        <w:pStyle w:val="N0-FlLftBullet"/>
        <w:tabs>
          <w:tab w:val="clear" w:pos="576"/>
        </w:tabs>
        <w:ind w:left="720" w:hanging="720"/>
      </w:pPr>
      <w:r w:rsidRPr="008A6D61">
        <w:tab/>
      </w:r>
      <w:r w:rsidR="00CE2B2F" w:rsidRPr="008A6D61">
        <w:t xml:space="preserve">Are </w:t>
      </w:r>
      <w:r w:rsidR="00931319" w:rsidRPr="008A6D61">
        <w:t>any SPP/</w:t>
      </w:r>
      <w:r w:rsidR="00CE2B2F" w:rsidRPr="008A6D61">
        <w:t xml:space="preserve">APR results indicators used in the state's </w:t>
      </w:r>
      <w:r w:rsidR="00931319" w:rsidRPr="008A6D61">
        <w:t>SPP/</w:t>
      </w:r>
      <w:r w:rsidR="00CE2B2F" w:rsidRPr="008A6D61">
        <w:t xml:space="preserve">APR local determinations calculations? Note: results indicators are 1, 2, 3B </w:t>
      </w:r>
      <w:r w:rsidR="000F4434" w:rsidRPr="008A6D61">
        <w:t xml:space="preserve">and </w:t>
      </w:r>
      <w:r w:rsidR="00CE2B2F" w:rsidRPr="008A6D61">
        <w:t>3C, 4A, 5A</w:t>
      </w:r>
      <w:r w:rsidR="000F4434" w:rsidRPr="008A6D61">
        <w:t xml:space="preserve"> through</w:t>
      </w:r>
      <w:r w:rsidR="001C35D8" w:rsidRPr="008A6D61">
        <w:t xml:space="preserve"> </w:t>
      </w:r>
      <w:r w:rsidR="00CE2B2F" w:rsidRPr="008A6D61">
        <w:t xml:space="preserve">5C, 6A </w:t>
      </w:r>
      <w:r w:rsidR="000F4434" w:rsidRPr="008A6D61">
        <w:t xml:space="preserve">and </w:t>
      </w:r>
      <w:r w:rsidR="00CE2B2F" w:rsidRPr="008A6D61">
        <w:t>6B,</w:t>
      </w:r>
      <w:r w:rsidR="00FF217F" w:rsidRPr="008A6D61">
        <w:rPr>
          <w:rStyle w:val="FootnoteReference"/>
        </w:rPr>
        <w:footnoteReference w:id="7"/>
      </w:r>
      <w:r w:rsidR="00CE2B2F" w:rsidRPr="008A6D61">
        <w:t xml:space="preserve"> 7A S1 </w:t>
      </w:r>
      <w:r w:rsidR="000F4434" w:rsidRPr="008A6D61">
        <w:t xml:space="preserve">and </w:t>
      </w:r>
      <w:r w:rsidR="00CE2B2F" w:rsidRPr="008A6D61">
        <w:t xml:space="preserve">S2, 7B S1 </w:t>
      </w:r>
      <w:r w:rsidR="000F4434" w:rsidRPr="008A6D61">
        <w:t>and</w:t>
      </w:r>
      <w:r w:rsidR="00CE2B2F" w:rsidRPr="008A6D61">
        <w:t xml:space="preserve"> S2, 7C S1 </w:t>
      </w:r>
      <w:r w:rsidR="000F4434" w:rsidRPr="008A6D61">
        <w:t>and</w:t>
      </w:r>
      <w:r w:rsidR="00CE2B2F" w:rsidRPr="008A6D61">
        <w:t xml:space="preserve"> S2, 8, 14A</w:t>
      </w:r>
      <w:r w:rsidR="000F4434" w:rsidRPr="008A6D61">
        <w:t xml:space="preserve"> through</w:t>
      </w:r>
      <w:r w:rsidR="00B07A24" w:rsidRPr="008A6D61">
        <w:t xml:space="preserve"> </w:t>
      </w:r>
      <w:r w:rsidR="00CE2B2F" w:rsidRPr="008A6D61">
        <w:t xml:space="preserve">14C, 15, and </w:t>
      </w:r>
      <w:r w:rsidR="00CC15AB" w:rsidRPr="008A6D61">
        <w:t>16</w:t>
      </w:r>
      <w:r w:rsidR="000F4434" w:rsidRPr="008A6D61">
        <w:t>.</w:t>
      </w:r>
    </w:p>
    <w:p w14:paraId="43D35825" w14:textId="301CA535" w:rsidR="00CE2B2F" w:rsidRPr="008A6D61" w:rsidRDefault="00CE2B2F" w:rsidP="004F1FD3">
      <w:pPr>
        <w:pStyle w:val="N0-FlLftBullet"/>
        <w:tabs>
          <w:tab w:val="clear" w:pos="576"/>
        </w:tabs>
        <w:ind w:left="720" w:hanging="720"/>
        <w:rPr>
          <w:b/>
          <w:bCs/>
        </w:rPr>
      </w:pPr>
      <w:r w:rsidRPr="008A6D61">
        <w:rPr>
          <w:b/>
          <w:bCs/>
        </w:rPr>
        <w:t xml:space="preserve">Q3. </w:t>
      </w:r>
      <w:r w:rsidR="00912A27" w:rsidRPr="008A6D61">
        <w:rPr>
          <w:b/>
          <w:bCs/>
        </w:rPr>
        <w:tab/>
      </w:r>
      <w:r w:rsidRPr="008A6D61">
        <w:rPr>
          <w:b/>
          <w:bCs/>
        </w:rPr>
        <w:t>Other Data Used? (Y/N)</w:t>
      </w:r>
    </w:p>
    <w:p w14:paraId="1DE9502C" w14:textId="55FAAE01" w:rsidR="00CE2B2F" w:rsidRPr="008A6D61" w:rsidRDefault="001F610A" w:rsidP="004F1FD3">
      <w:pPr>
        <w:pStyle w:val="N0-FlLftBullet"/>
        <w:tabs>
          <w:tab w:val="clear" w:pos="576"/>
        </w:tabs>
        <w:ind w:left="720" w:hanging="720"/>
      </w:pPr>
      <w:r w:rsidRPr="008A6D61">
        <w:tab/>
      </w:r>
      <w:r w:rsidR="00CE2B2F" w:rsidRPr="008A6D61">
        <w:t xml:space="preserve">Are other data elements included in the state's </w:t>
      </w:r>
      <w:r w:rsidR="00931319" w:rsidRPr="008A6D61">
        <w:t>SPP/</w:t>
      </w:r>
      <w:r w:rsidR="00CE2B2F" w:rsidRPr="008A6D61">
        <w:t>APR local determinations calculations (e.g.</w:t>
      </w:r>
      <w:r w:rsidR="00B07A24" w:rsidRPr="008A6D61">
        <w:t>,</w:t>
      </w:r>
      <w:r w:rsidR="00CE2B2F" w:rsidRPr="008A6D61">
        <w:t xml:space="preserve"> monitoring results, compliance findings outside of the </w:t>
      </w:r>
      <w:r w:rsidR="00931319" w:rsidRPr="008A6D61">
        <w:t>SPP/</w:t>
      </w:r>
      <w:r w:rsidR="00CE2B2F" w:rsidRPr="008A6D61">
        <w:t>APR indicators)?</w:t>
      </w:r>
    </w:p>
    <w:p w14:paraId="3A828F8A" w14:textId="2D8FDBAD" w:rsidR="00CE2B2F" w:rsidRPr="008A6D61" w:rsidRDefault="00CE2B2F" w:rsidP="004F1FD3">
      <w:pPr>
        <w:pStyle w:val="N0-FlLftBullet"/>
        <w:tabs>
          <w:tab w:val="clear" w:pos="576"/>
        </w:tabs>
        <w:ind w:left="720" w:hanging="720"/>
        <w:rPr>
          <w:b/>
          <w:bCs/>
        </w:rPr>
      </w:pPr>
      <w:r w:rsidRPr="008A6D61">
        <w:rPr>
          <w:b/>
          <w:bCs/>
        </w:rPr>
        <w:t>Q4.</w:t>
      </w:r>
      <w:r w:rsidRPr="008A6D61">
        <w:rPr>
          <w:b/>
          <w:bCs/>
        </w:rPr>
        <w:tab/>
        <w:t>List All Indicators/Data Used in the Local Determinations</w:t>
      </w:r>
    </w:p>
    <w:p w14:paraId="5D4D3940" w14:textId="4D00761C" w:rsidR="00912A27" w:rsidRPr="008A6D61" w:rsidRDefault="001F610A" w:rsidP="004F1FD3">
      <w:pPr>
        <w:pStyle w:val="N0-FlLftBullet"/>
        <w:tabs>
          <w:tab w:val="clear" w:pos="576"/>
        </w:tabs>
        <w:ind w:left="720" w:hanging="720"/>
      </w:pPr>
      <w:r w:rsidRPr="008A6D61">
        <w:tab/>
      </w:r>
      <w:r w:rsidR="00CE2B2F" w:rsidRPr="008A6D61">
        <w:t xml:space="preserve">What </w:t>
      </w:r>
      <w:r w:rsidR="00BB2351" w:rsidRPr="008A6D61">
        <w:t>SPP/</w:t>
      </w:r>
      <w:r w:rsidR="00CE2B2F" w:rsidRPr="008A6D61">
        <w:t>APR indicators (1</w:t>
      </w:r>
      <w:r w:rsidR="000F4434" w:rsidRPr="008A6D61">
        <w:t xml:space="preserve"> through</w:t>
      </w:r>
      <w:r w:rsidR="00B07A24" w:rsidRPr="008A6D61">
        <w:t xml:space="preserve"> </w:t>
      </w:r>
      <w:r w:rsidR="00CE2B2F" w:rsidRPr="008A6D61">
        <w:t>17) and other data sources are used in the calculations of local determinations?</w:t>
      </w:r>
    </w:p>
    <w:p w14:paraId="1FF07409" w14:textId="0A7E3627" w:rsidR="00CE2B2F" w:rsidRPr="008A6D61" w:rsidRDefault="00CE2B2F" w:rsidP="004F1FD3">
      <w:pPr>
        <w:pStyle w:val="N0-FlLftBullet"/>
        <w:tabs>
          <w:tab w:val="clear" w:pos="576"/>
        </w:tabs>
        <w:ind w:left="720" w:hanging="720"/>
        <w:rPr>
          <w:b/>
          <w:bCs/>
        </w:rPr>
      </w:pPr>
      <w:r w:rsidRPr="008A6D61">
        <w:rPr>
          <w:b/>
          <w:bCs/>
        </w:rPr>
        <w:t>Q5.</w:t>
      </w:r>
      <w:r w:rsidRPr="008A6D61">
        <w:rPr>
          <w:b/>
          <w:bCs/>
        </w:rPr>
        <w:tab/>
        <w:t>Point</w:t>
      </w:r>
      <w:r w:rsidR="00FA327F" w:rsidRPr="008A6D61">
        <w:rPr>
          <w:b/>
          <w:bCs/>
        </w:rPr>
        <w:t>s</w:t>
      </w:r>
      <w:r w:rsidRPr="008A6D61">
        <w:rPr>
          <w:b/>
          <w:bCs/>
        </w:rPr>
        <w:t xml:space="preserve"> Assigned to Indicators/Data? (Y/N)</w:t>
      </w:r>
    </w:p>
    <w:p w14:paraId="2E29B6A4" w14:textId="5C47F804" w:rsidR="00CE2B2F" w:rsidRPr="008A6D61" w:rsidRDefault="001F610A" w:rsidP="004F1FD3">
      <w:pPr>
        <w:pStyle w:val="N0-FlLftBullet"/>
        <w:tabs>
          <w:tab w:val="clear" w:pos="576"/>
        </w:tabs>
        <w:ind w:left="720" w:hanging="720"/>
      </w:pPr>
      <w:r w:rsidRPr="008A6D61">
        <w:tab/>
      </w:r>
      <w:r w:rsidR="00CE2B2F" w:rsidRPr="008A6D61">
        <w:t>Does the state assign points to indicators or data elements included in the calculations for local determinations?</w:t>
      </w:r>
    </w:p>
    <w:p w14:paraId="115081FB" w14:textId="368B1C66" w:rsidR="00CE2B2F" w:rsidRPr="008A6D61" w:rsidRDefault="00CE2B2F" w:rsidP="004F1FD3">
      <w:pPr>
        <w:pStyle w:val="N0-FlLftBullet"/>
        <w:tabs>
          <w:tab w:val="clear" w:pos="576"/>
        </w:tabs>
        <w:ind w:left="720" w:hanging="720"/>
        <w:rPr>
          <w:b/>
          <w:bCs/>
        </w:rPr>
      </w:pPr>
      <w:r w:rsidRPr="008A6D61">
        <w:rPr>
          <w:b/>
          <w:bCs/>
        </w:rPr>
        <w:t xml:space="preserve">Q5(a). </w:t>
      </w:r>
      <w:r w:rsidR="00CC15AB" w:rsidRPr="008A6D61">
        <w:rPr>
          <w:b/>
          <w:bCs/>
        </w:rPr>
        <w:tab/>
      </w:r>
      <w:r w:rsidRPr="008A6D61">
        <w:rPr>
          <w:b/>
          <w:bCs/>
        </w:rPr>
        <w:t xml:space="preserve">Explanation of How Points </w:t>
      </w:r>
      <w:r w:rsidR="000F4434" w:rsidRPr="008A6D61">
        <w:rPr>
          <w:b/>
          <w:bCs/>
        </w:rPr>
        <w:t>A</w:t>
      </w:r>
      <w:r w:rsidRPr="008A6D61">
        <w:rPr>
          <w:b/>
          <w:bCs/>
        </w:rPr>
        <w:t>re Assigned (if Q5 is "Y")</w:t>
      </w:r>
    </w:p>
    <w:p w14:paraId="589729D6" w14:textId="15EE5143" w:rsidR="00CE2B2F" w:rsidRPr="008A6D61" w:rsidRDefault="001F610A" w:rsidP="004F1FD3">
      <w:pPr>
        <w:pStyle w:val="N0-FlLftBullet"/>
        <w:tabs>
          <w:tab w:val="clear" w:pos="576"/>
        </w:tabs>
        <w:ind w:left="720" w:hanging="720"/>
      </w:pPr>
      <w:r w:rsidRPr="008A6D61">
        <w:tab/>
      </w:r>
      <w:r w:rsidR="00CE2B2F" w:rsidRPr="008A6D61">
        <w:t xml:space="preserve">As an example, perhaps a state uses a tiered system to assign points for Indicator 1, in which a score of &lt;60% = 0 points, a score of &gt;=60% </w:t>
      </w:r>
      <w:r w:rsidR="000F4434" w:rsidRPr="008A6D61">
        <w:t>to</w:t>
      </w:r>
      <w:r w:rsidR="00CE2B2F" w:rsidRPr="008A6D61">
        <w:t xml:space="preserve"> &lt;80% = 1 point, and a score of &gt;=80% = 2 points.</w:t>
      </w:r>
      <w:r w:rsidR="00CE2B2F" w:rsidRPr="008A6D61">
        <w:tab/>
      </w:r>
    </w:p>
    <w:p w14:paraId="3A2CE4AA" w14:textId="6D642EB4" w:rsidR="00CE2B2F" w:rsidRPr="008A6D61" w:rsidRDefault="00CE2B2F" w:rsidP="004F1FD3">
      <w:pPr>
        <w:pStyle w:val="N0-FlLftBullet"/>
        <w:tabs>
          <w:tab w:val="clear" w:pos="576"/>
        </w:tabs>
        <w:ind w:left="720" w:hanging="720"/>
        <w:rPr>
          <w:b/>
          <w:bCs/>
        </w:rPr>
      </w:pPr>
      <w:r w:rsidRPr="008A6D61">
        <w:rPr>
          <w:b/>
          <w:bCs/>
        </w:rPr>
        <w:t>Q6.</w:t>
      </w:r>
      <w:r w:rsidRPr="008A6D61">
        <w:rPr>
          <w:b/>
          <w:bCs/>
        </w:rPr>
        <w:tab/>
        <w:t>Indicators/Data Weighted? (Y/N)</w:t>
      </w:r>
    </w:p>
    <w:p w14:paraId="674D1324" w14:textId="329E7330" w:rsidR="00CE2B2F" w:rsidRPr="008A6D61" w:rsidRDefault="001F610A" w:rsidP="004F1FD3">
      <w:pPr>
        <w:pStyle w:val="N0-FlLftBullet"/>
        <w:tabs>
          <w:tab w:val="clear" w:pos="576"/>
        </w:tabs>
        <w:ind w:left="720" w:hanging="720"/>
      </w:pPr>
      <w:r w:rsidRPr="008A6D61">
        <w:tab/>
      </w:r>
      <w:r w:rsidR="00CE2B2F" w:rsidRPr="008A6D61">
        <w:t>Does the state assign different weights or values to particular indicators or data elements?</w:t>
      </w:r>
    </w:p>
    <w:p w14:paraId="1115CE4F" w14:textId="4F6CA8EC" w:rsidR="004F1FD3" w:rsidRPr="008A6D61" w:rsidRDefault="00CE2B2F" w:rsidP="004F1FD3">
      <w:pPr>
        <w:pStyle w:val="N0-FlLftBullet"/>
        <w:keepNext/>
        <w:tabs>
          <w:tab w:val="clear" w:pos="576"/>
        </w:tabs>
        <w:ind w:left="720" w:hanging="720"/>
        <w:rPr>
          <w:b/>
          <w:bCs/>
        </w:rPr>
      </w:pPr>
      <w:r w:rsidRPr="008A6D61">
        <w:rPr>
          <w:b/>
          <w:bCs/>
        </w:rPr>
        <w:lastRenderedPageBreak/>
        <w:t>Q6(a).</w:t>
      </w:r>
      <w:r w:rsidR="004F1FD3" w:rsidRPr="008A6D61">
        <w:rPr>
          <w:b/>
          <w:bCs/>
        </w:rPr>
        <w:tab/>
      </w:r>
      <w:r w:rsidRPr="008A6D61">
        <w:rPr>
          <w:b/>
          <w:bCs/>
        </w:rPr>
        <w:t xml:space="preserve">Explanation of How Weights </w:t>
      </w:r>
      <w:r w:rsidR="000F4434" w:rsidRPr="008A6D61">
        <w:rPr>
          <w:b/>
          <w:bCs/>
        </w:rPr>
        <w:t>A</w:t>
      </w:r>
      <w:r w:rsidRPr="008A6D61">
        <w:rPr>
          <w:b/>
          <w:bCs/>
        </w:rPr>
        <w:t>re Used (if Q6 is "Y")</w:t>
      </w:r>
    </w:p>
    <w:p w14:paraId="7E2F4121" w14:textId="05A5F513" w:rsidR="00912A27" w:rsidRPr="008A6D61" w:rsidRDefault="0085398C" w:rsidP="004F1FD3">
      <w:pPr>
        <w:pStyle w:val="N0-FlLftBullet"/>
        <w:tabs>
          <w:tab w:val="clear" w:pos="576"/>
        </w:tabs>
        <w:ind w:left="720" w:hanging="720"/>
      </w:pPr>
      <w:r w:rsidRPr="008A6D61">
        <w:tab/>
      </w:r>
      <w:r w:rsidR="00CE2B2F" w:rsidRPr="008A6D61">
        <w:t xml:space="preserve">As an example, perhaps a state places a higher value on Indicators 5A and 6A and these data align with state priorities. The state might assign </w:t>
      </w:r>
      <w:r w:rsidR="000F4434" w:rsidRPr="008A6D61">
        <w:t xml:space="preserve">a weight </w:t>
      </w:r>
      <w:r w:rsidR="00CE2B2F" w:rsidRPr="008A6D61">
        <w:t>of 2 to these indicators in the determinations calculation, while assigning a weight of 0.5 to less valued indicators/data.</w:t>
      </w:r>
    </w:p>
    <w:p w14:paraId="6C58023B" w14:textId="02567700" w:rsidR="00CE2B2F" w:rsidRPr="008A6D61" w:rsidRDefault="00CE2B2F" w:rsidP="004F1FD3">
      <w:pPr>
        <w:pStyle w:val="N0-FlLftBullet"/>
        <w:tabs>
          <w:tab w:val="clear" w:pos="576"/>
        </w:tabs>
        <w:ind w:left="720" w:hanging="720"/>
        <w:rPr>
          <w:b/>
          <w:bCs/>
        </w:rPr>
      </w:pPr>
      <w:r w:rsidRPr="008A6D61">
        <w:rPr>
          <w:b/>
          <w:bCs/>
        </w:rPr>
        <w:t>Q7.</w:t>
      </w:r>
      <w:r w:rsidR="00912A27" w:rsidRPr="008A6D61">
        <w:rPr>
          <w:b/>
          <w:bCs/>
        </w:rPr>
        <w:tab/>
      </w:r>
      <w:r w:rsidRPr="008A6D61">
        <w:rPr>
          <w:b/>
          <w:bCs/>
        </w:rPr>
        <w:t xml:space="preserve">Criteria for Determination Category </w:t>
      </w:r>
      <w:r w:rsidRPr="008A6D61">
        <w:rPr>
          <w:b/>
          <w:bCs/>
          <w:i/>
        </w:rPr>
        <w:t>Meets Requirements</w:t>
      </w:r>
    </w:p>
    <w:p w14:paraId="23060F0E" w14:textId="6B16702A" w:rsidR="00D471F5" w:rsidRPr="008A6D61" w:rsidRDefault="0085398C" w:rsidP="004F1FD3">
      <w:pPr>
        <w:pStyle w:val="N0-FlLftBullet"/>
        <w:tabs>
          <w:tab w:val="clear" w:pos="576"/>
        </w:tabs>
        <w:ind w:left="720" w:hanging="720"/>
      </w:pPr>
      <w:r w:rsidRPr="008A6D61">
        <w:tab/>
      </w:r>
      <w:r w:rsidR="00CE2B2F" w:rsidRPr="008A6D61">
        <w:t>How does the state assign LEAs to this determinations category? Are cut points assigned for each determination category, based on awarded points? Does the state use thresholds to assign determinations categories based on the percent of total possible points earned by an LEA?</w:t>
      </w:r>
    </w:p>
    <w:p w14:paraId="36CEA057" w14:textId="309FED11" w:rsidR="00CE2B2F" w:rsidRPr="008A6D61" w:rsidRDefault="00CE2B2F" w:rsidP="004F1FD3">
      <w:pPr>
        <w:pStyle w:val="N0-FlLftBullet"/>
        <w:tabs>
          <w:tab w:val="clear" w:pos="576"/>
        </w:tabs>
        <w:ind w:left="720" w:hanging="720"/>
        <w:rPr>
          <w:b/>
          <w:bCs/>
        </w:rPr>
      </w:pPr>
      <w:r w:rsidRPr="008A6D61">
        <w:rPr>
          <w:b/>
          <w:bCs/>
        </w:rPr>
        <w:t>Q8.</w:t>
      </w:r>
      <w:r w:rsidR="00CC15AB" w:rsidRPr="008A6D61">
        <w:rPr>
          <w:b/>
          <w:bCs/>
        </w:rPr>
        <w:tab/>
      </w:r>
      <w:r w:rsidRPr="008A6D61">
        <w:rPr>
          <w:b/>
          <w:bCs/>
        </w:rPr>
        <w:t xml:space="preserve">Criteria for Determination Category </w:t>
      </w:r>
      <w:r w:rsidRPr="008A6D61">
        <w:rPr>
          <w:b/>
          <w:bCs/>
          <w:i/>
        </w:rPr>
        <w:t>Needs Assistanc</w:t>
      </w:r>
      <w:r w:rsidR="00912A27" w:rsidRPr="008A6D61">
        <w:rPr>
          <w:b/>
          <w:bCs/>
          <w:i/>
        </w:rPr>
        <w:t>e</w:t>
      </w:r>
    </w:p>
    <w:p w14:paraId="2B918253" w14:textId="367225E8" w:rsidR="00CC15AB" w:rsidRPr="008A6D61" w:rsidRDefault="0085398C" w:rsidP="004F1FD3">
      <w:pPr>
        <w:pStyle w:val="N0-FlLftBullet"/>
        <w:tabs>
          <w:tab w:val="clear" w:pos="576"/>
        </w:tabs>
        <w:ind w:left="720" w:hanging="720"/>
      </w:pPr>
      <w:r w:rsidRPr="008A6D61">
        <w:tab/>
      </w:r>
      <w:r w:rsidR="00CE2B2F" w:rsidRPr="008A6D61">
        <w:t>How does the state assign LEAs to this determinations category? Are cut points assigned for each determination category, based on awarded points? Does the state use thresholds to assign determinations categories based on the percent of total possible points earned by an LEA?</w:t>
      </w:r>
    </w:p>
    <w:p w14:paraId="40D20FBB" w14:textId="619C2364" w:rsidR="00DC5700" w:rsidRPr="008A6D61" w:rsidRDefault="00CE2B2F" w:rsidP="004F1FD3">
      <w:pPr>
        <w:pStyle w:val="N0-FlLftBullet"/>
        <w:tabs>
          <w:tab w:val="clear" w:pos="576"/>
        </w:tabs>
        <w:ind w:left="720" w:hanging="720"/>
        <w:rPr>
          <w:b/>
          <w:bCs/>
        </w:rPr>
      </w:pPr>
      <w:r w:rsidRPr="008A6D61">
        <w:rPr>
          <w:b/>
          <w:bCs/>
        </w:rPr>
        <w:t>Q9.</w:t>
      </w:r>
      <w:r w:rsidRPr="008A6D61">
        <w:rPr>
          <w:b/>
          <w:bCs/>
        </w:rPr>
        <w:tab/>
        <w:t xml:space="preserve">Criteria for Determination Category </w:t>
      </w:r>
      <w:r w:rsidRPr="008A6D61">
        <w:rPr>
          <w:b/>
          <w:bCs/>
          <w:i/>
        </w:rPr>
        <w:t>Needs Intervention</w:t>
      </w:r>
    </w:p>
    <w:p w14:paraId="55B2553F" w14:textId="4D9A5846" w:rsidR="00CE2B2F" w:rsidRPr="008A6D61" w:rsidRDefault="0085398C" w:rsidP="004F1FD3">
      <w:pPr>
        <w:pStyle w:val="N0-FlLftBullet"/>
        <w:tabs>
          <w:tab w:val="clear" w:pos="576"/>
        </w:tabs>
        <w:ind w:left="720" w:hanging="720"/>
      </w:pPr>
      <w:r w:rsidRPr="008A6D61">
        <w:tab/>
      </w:r>
      <w:r w:rsidR="00CE2B2F" w:rsidRPr="008A6D61">
        <w:t>How does the state assign LEAs to this determinations category? Are cut points assigned for each determination category, based on awarded points? Does the state use thresholds to assign determinations categories based on the percent of total possible points earned by an LEA?</w:t>
      </w:r>
    </w:p>
    <w:p w14:paraId="357D2356" w14:textId="6A625D89" w:rsidR="00DC5700" w:rsidRPr="008A6D61" w:rsidRDefault="00DC5700" w:rsidP="004F1FD3">
      <w:pPr>
        <w:pStyle w:val="N0-FlLftBullet"/>
        <w:tabs>
          <w:tab w:val="clear" w:pos="576"/>
        </w:tabs>
        <w:ind w:left="720" w:hanging="720"/>
        <w:rPr>
          <w:b/>
          <w:bCs/>
        </w:rPr>
      </w:pPr>
      <w:r w:rsidRPr="008A6D61">
        <w:rPr>
          <w:b/>
          <w:bCs/>
        </w:rPr>
        <w:t>Q10.</w:t>
      </w:r>
      <w:r w:rsidR="0085398C" w:rsidRPr="008A6D61">
        <w:rPr>
          <w:b/>
          <w:bCs/>
        </w:rPr>
        <w:tab/>
      </w:r>
      <w:r w:rsidR="00CE2B2F" w:rsidRPr="008A6D61">
        <w:rPr>
          <w:b/>
          <w:bCs/>
        </w:rPr>
        <w:t xml:space="preserve">Criteria for Determination Category </w:t>
      </w:r>
      <w:r w:rsidR="00CE2B2F" w:rsidRPr="008A6D61">
        <w:rPr>
          <w:b/>
          <w:bCs/>
          <w:i/>
        </w:rPr>
        <w:t>Needs Substantial Intervention</w:t>
      </w:r>
    </w:p>
    <w:p w14:paraId="1CC15EBB" w14:textId="5BF60B88" w:rsidR="00CE2B2F" w:rsidRPr="008A6D61" w:rsidRDefault="0085398C" w:rsidP="004F1FD3">
      <w:pPr>
        <w:pStyle w:val="N0-FlLftBullet"/>
        <w:tabs>
          <w:tab w:val="clear" w:pos="576"/>
        </w:tabs>
        <w:ind w:left="720" w:hanging="720"/>
      </w:pPr>
      <w:r w:rsidRPr="008A6D61">
        <w:tab/>
      </w:r>
      <w:r w:rsidR="00CE2B2F" w:rsidRPr="008A6D61">
        <w:t>How does the state assign LEAs to this determinations category? Are cut points assigned for each determination category, based on awarded points? Does the state use thresholds to assign determinations categories based on the percent of total possible points earned by an LEA?</w:t>
      </w:r>
    </w:p>
    <w:p w14:paraId="415BE029" w14:textId="78D9D074" w:rsidR="00DC5700" w:rsidRPr="008A6D61" w:rsidRDefault="00DC5700" w:rsidP="004F1FD3">
      <w:pPr>
        <w:pStyle w:val="N0-FlLftBullet"/>
        <w:tabs>
          <w:tab w:val="clear" w:pos="576"/>
        </w:tabs>
        <w:ind w:left="720" w:hanging="720"/>
        <w:rPr>
          <w:b/>
          <w:bCs/>
        </w:rPr>
      </w:pPr>
      <w:r w:rsidRPr="008A6D61">
        <w:rPr>
          <w:b/>
          <w:bCs/>
        </w:rPr>
        <w:t>Q11.</w:t>
      </w:r>
      <w:r w:rsidR="0085398C" w:rsidRPr="008A6D61">
        <w:rPr>
          <w:b/>
          <w:bCs/>
        </w:rPr>
        <w:tab/>
      </w:r>
      <w:r w:rsidR="00CE2B2F" w:rsidRPr="008A6D61">
        <w:rPr>
          <w:b/>
          <w:bCs/>
        </w:rPr>
        <w:t>Additional Notes</w:t>
      </w:r>
    </w:p>
    <w:p w14:paraId="7CB34F85" w14:textId="5E968DC1" w:rsidR="00CE2B2F" w:rsidRPr="008A6D61" w:rsidRDefault="0085398C" w:rsidP="004F1FD3">
      <w:pPr>
        <w:pStyle w:val="N0-FlLftBullet"/>
        <w:tabs>
          <w:tab w:val="clear" w:pos="576"/>
        </w:tabs>
        <w:ind w:left="720" w:hanging="720"/>
      </w:pPr>
      <w:r w:rsidRPr="008A6D61">
        <w:tab/>
      </w:r>
      <w:r w:rsidR="0000411B" w:rsidRPr="008A6D61">
        <w:t>Provide a</w:t>
      </w:r>
      <w:r w:rsidR="00CE2B2F" w:rsidRPr="008A6D61">
        <w:t xml:space="preserve">ny additional aspects of the state </w:t>
      </w:r>
      <w:r w:rsidR="000C70F3" w:rsidRPr="008A6D61">
        <w:t xml:space="preserve">LEA </w:t>
      </w:r>
      <w:r w:rsidR="00CE2B2F" w:rsidRPr="008A6D61">
        <w:t>determinations not captured elsewhere</w:t>
      </w:r>
      <w:r w:rsidR="00B07A24" w:rsidRPr="008A6D61">
        <w:t>.</w:t>
      </w:r>
    </w:p>
    <w:p w14:paraId="548E6E08" w14:textId="0258F5FC" w:rsidR="00912A27" w:rsidRPr="008A6D61" w:rsidRDefault="00DC5700" w:rsidP="004F1FD3">
      <w:pPr>
        <w:pStyle w:val="N0-FlLftBullet"/>
        <w:tabs>
          <w:tab w:val="clear" w:pos="576"/>
        </w:tabs>
        <w:ind w:left="720" w:hanging="720"/>
        <w:rPr>
          <w:b/>
          <w:bCs/>
        </w:rPr>
      </w:pPr>
      <w:r w:rsidRPr="008A6D61">
        <w:rPr>
          <w:b/>
          <w:bCs/>
        </w:rPr>
        <w:t xml:space="preserve">Q12. </w:t>
      </w:r>
      <w:r w:rsidR="00CC15AB" w:rsidRPr="008A6D61">
        <w:rPr>
          <w:b/>
          <w:bCs/>
        </w:rPr>
        <w:tab/>
      </w:r>
      <w:r w:rsidR="00CE2B2F" w:rsidRPr="008A6D61">
        <w:rPr>
          <w:b/>
          <w:bCs/>
        </w:rPr>
        <w:t>Date of Guidance</w:t>
      </w:r>
    </w:p>
    <w:p w14:paraId="26BBBB6F" w14:textId="3B27F3A1" w:rsidR="009466F1" w:rsidRPr="008A6D61" w:rsidRDefault="00CC15AB" w:rsidP="004F1FD3">
      <w:pPr>
        <w:pStyle w:val="N0-FlLftBullet"/>
        <w:tabs>
          <w:tab w:val="clear" w:pos="576"/>
        </w:tabs>
        <w:ind w:left="720" w:hanging="720"/>
      </w:pPr>
      <w:r w:rsidRPr="008A6D61">
        <w:tab/>
      </w:r>
      <w:r w:rsidR="0000411B" w:rsidRPr="008A6D61">
        <w:t>Provide t</w:t>
      </w:r>
      <w:r w:rsidR="00CE2B2F" w:rsidRPr="008A6D61">
        <w:t xml:space="preserve">he date </w:t>
      </w:r>
      <w:r w:rsidR="00AB3A74" w:rsidRPr="008A6D61">
        <w:t>o</w:t>
      </w:r>
      <w:r w:rsidR="00CE2B2F" w:rsidRPr="008A6D61">
        <w:t>n which guidance on state local determinations was most recently updated.</w:t>
      </w:r>
    </w:p>
    <w:p w14:paraId="694D8D2C" w14:textId="77777777" w:rsidR="001F610A" w:rsidRPr="008A6D61" w:rsidRDefault="001F610A">
      <w:pPr>
        <w:spacing w:after="0" w:line="240" w:lineRule="auto"/>
        <w:rPr>
          <w:rFonts w:ascii="Calibri" w:eastAsia="Calibri" w:hAnsi="Calibri"/>
          <w:b/>
          <w:color w:val="01579B"/>
          <w:spacing w:val="-4"/>
          <w:w w:val="105"/>
          <w:sz w:val="40"/>
          <w:szCs w:val="40"/>
        </w:rPr>
      </w:pPr>
      <w:bookmarkStart w:id="3" w:name="_Appendix_B"/>
      <w:bookmarkEnd w:id="3"/>
      <w:r w:rsidRPr="008A6D61">
        <w:rPr>
          <w:rFonts w:ascii="Calibri" w:eastAsia="Calibri" w:hAnsi="Calibri"/>
          <w:b/>
          <w:color w:val="01579B"/>
          <w:spacing w:val="-4"/>
          <w:w w:val="105"/>
          <w:sz w:val="40"/>
          <w:szCs w:val="40"/>
        </w:rPr>
        <w:br w:type="page"/>
      </w:r>
    </w:p>
    <w:p w14:paraId="3D6256D7" w14:textId="14C716BF" w:rsidR="007C1AC9" w:rsidRPr="008A6D61" w:rsidRDefault="00912A27" w:rsidP="0085398C">
      <w:pPr>
        <w:pStyle w:val="Heading2"/>
        <w:rPr>
          <w:color w:val="455A64"/>
          <w:sz w:val="21"/>
          <w:szCs w:val="21"/>
        </w:rPr>
      </w:pPr>
      <w:bookmarkStart w:id="4" w:name="Appendix_B"/>
      <w:r w:rsidRPr="008A6D61">
        <w:rPr>
          <w:rFonts w:eastAsia="Calibri"/>
          <w:w w:val="105"/>
        </w:rPr>
        <w:lastRenderedPageBreak/>
        <w:t>Appendix B</w:t>
      </w:r>
    </w:p>
    <w:bookmarkEnd w:id="4"/>
    <w:p w14:paraId="24409047" w14:textId="199F044A" w:rsidR="00932050" w:rsidRPr="008A6D61" w:rsidRDefault="007C1AC9" w:rsidP="0085398C">
      <w:pPr>
        <w:pStyle w:val="SL-FlLftSgl"/>
        <w:rPr>
          <w:lang w:val="en-US"/>
        </w:rPr>
      </w:pPr>
      <w:r w:rsidRPr="008A6D61">
        <w:rPr>
          <w:lang w:val="en-US"/>
        </w:rPr>
        <w:t xml:space="preserve">Provided below </w:t>
      </w:r>
      <w:r w:rsidR="00B07A24" w:rsidRPr="008A6D61">
        <w:rPr>
          <w:lang w:val="en-US"/>
        </w:rPr>
        <w:t>is a summary</w:t>
      </w:r>
      <w:r w:rsidRPr="008A6D61">
        <w:rPr>
          <w:lang w:val="en-US"/>
        </w:rPr>
        <w:t xml:space="preserve"> of </w:t>
      </w:r>
      <w:r w:rsidR="00B07A24" w:rsidRPr="008A6D61">
        <w:rPr>
          <w:lang w:val="en-US"/>
        </w:rPr>
        <w:t xml:space="preserve">the </w:t>
      </w:r>
      <w:r w:rsidRPr="008A6D61">
        <w:rPr>
          <w:lang w:val="en-US"/>
        </w:rPr>
        <w:t>different methods 22 states report</w:t>
      </w:r>
      <w:r w:rsidR="00492EAB" w:rsidRPr="008A6D61">
        <w:rPr>
          <w:lang w:val="en-US"/>
        </w:rPr>
        <w:t>ed</w:t>
      </w:r>
      <w:r w:rsidRPr="008A6D61">
        <w:rPr>
          <w:lang w:val="en-US"/>
        </w:rPr>
        <w:t xml:space="preserve"> for placing LEAs in determinations categories.</w:t>
      </w:r>
      <w:r w:rsidR="00D14EA0" w:rsidRPr="008A6D61">
        <w:rPr>
          <w:lang w:val="en-US"/>
        </w:rPr>
        <w:t xml:space="preserve"> This table provides information on the criteria these states </w:t>
      </w:r>
      <w:r w:rsidR="00AB3A74" w:rsidRPr="008A6D61">
        <w:rPr>
          <w:lang w:val="en-US"/>
        </w:rPr>
        <w:t xml:space="preserve">used </w:t>
      </w:r>
      <w:r w:rsidR="00D14EA0" w:rsidRPr="008A6D61">
        <w:rPr>
          <w:lang w:val="en-US"/>
        </w:rPr>
        <w:t>to establish LEA determination categories (e.g., points earned)</w:t>
      </w:r>
      <w:r w:rsidR="00F15A05" w:rsidRPr="008A6D61">
        <w:rPr>
          <w:lang w:val="en-US"/>
        </w:rPr>
        <w:t xml:space="preserve">, the details of how the states applied the criteria, and the number of states using the specified criteria. This information may be valuable for states looking for ideas about different ways to designate </w:t>
      </w:r>
      <w:r w:rsidR="00AB3A74" w:rsidRPr="008A6D61">
        <w:rPr>
          <w:lang w:val="en-US"/>
        </w:rPr>
        <w:t xml:space="preserve">in </w:t>
      </w:r>
      <w:r w:rsidR="00F15A05" w:rsidRPr="008A6D61">
        <w:rPr>
          <w:lang w:val="en-US"/>
        </w:rPr>
        <w:t xml:space="preserve">which of the four determination categories an LEA might fall. </w:t>
      </w:r>
    </w:p>
    <w:tbl>
      <w:tblPr>
        <w:tblStyle w:val="TableGrid"/>
        <w:tblW w:w="0" w:type="auto"/>
        <w:tblLook w:val="04A0" w:firstRow="1" w:lastRow="0" w:firstColumn="1" w:lastColumn="0" w:noHBand="0" w:noVBand="1"/>
      </w:tblPr>
      <w:tblGrid>
        <w:gridCol w:w="2383"/>
        <w:gridCol w:w="5337"/>
        <w:gridCol w:w="1610"/>
      </w:tblGrid>
      <w:tr w:rsidR="00FB54B0" w:rsidRPr="008A6D61" w14:paraId="2A50BADA" w14:textId="369E1FCB" w:rsidTr="00B17B12">
        <w:trPr>
          <w:cnfStyle w:val="000000100000" w:firstRow="0" w:lastRow="0" w:firstColumn="0" w:lastColumn="0" w:oddVBand="0" w:evenVBand="0" w:oddHBand="1" w:evenHBand="0" w:firstRowFirstColumn="0" w:firstRowLastColumn="0" w:lastRowFirstColumn="0" w:lastRowLastColumn="0"/>
          <w:trHeight w:val="517"/>
          <w:tblHeader/>
        </w:trPr>
        <w:tc>
          <w:tcPr>
            <w:tcW w:w="2605" w:type="dxa"/>
            <w:tcBorders>
              <w:top w:val="single" w:sz="12" w:space="0" w:color="80ABCD"/>
              <w:left w:val="single" w:sz="12" w:space="0" w:color="80ABCD"/>
              <w:bottom w:val="single" w:sz="12" w:space="0" w:color="80ABCD"/>
              <w:right w:val="single" w:sz="12" w:space="0" w:color="80ABCD"/>
            </w:tcBorders>
            <w:shd w:val="clear" w:color="auto" w:fill="01579B"/>
            <w:vAlign w:val="center"/>
          </w:tcPr>
          <w:p w14:paraId="2C94FEAA" w14:textId="2E230CAC" w:rsidR="00932050" w:rsidRPr="008A6D61" w:rsidRDefault="00932050" w:rsidP="00FB54B0">
            <w:pPr>
              <w:spacing w:before="80" w:after="80" w:line="280" w:lineRule="atLeast"/>
              <w:rPr>
                <w:rFonts w:asciiTheme="minorHAnsi" w:hAnsiTheme="minorHAnsi" w:cstheme="minorHAnsi"/>
                <w:b/>
                <w:bCs/>
                <w:color w:val="F2F2F2" w:themeColor="background1" w:themeShade="F2"/>
                <w:sz w:val="24"/>
              </w:rPr>
            </w:pPr>
            <w:r w:rsidRPr="008A6D61">
              <w:rPr>
                <w:rFonts w:asciiTheme="minorHAnsi" w:hAnsiTheme="minorHAnsi" w:cstheme="minorHAnsi"/>
                <w:b/>
                <w:bCs/>
                <w:color w:val="F2F2F2" w:themeColor="background1" w:themeShade="F2"/>
                <w:sz w:val="24"/>
              </w:rPr>
              <w:t xml:space="preserve">Criteria for LEA </w:t>
            </w:r>
            <w:r w:rsidR="00C6411C" w:rsidRPr="008A6D61">
              <w:rPr>
                <w:rFonts w:asciiTheme="minorHAnsi" w:hAnsiTheme="minorHAnsi" w:cstheme="minorHAnsi"/>
                <w:b/>
                <w:bCs/>
                <w:color w:val="F2F2F2" w:themeColor="background1" w:themeShade="F2"/>
                <w:sz w:val="24"/>
              </w:rPr>
              <w:t>d</w:t>
            </w:r>
            <w:r w:rsidRPr="008A6D61">
              <w:rPr>
                <w:rFonts w:asciiTheme="minorHAnsi" w:hAnsiTheme="minorHAnsi" w:cstheme="minorHAnsi"/>
                <w:b/>
                <w:bCs/>
                <w:color w:val="F2F2F2" w:themeColor="background1" w:themeShade="F2"/>
                <w:sz w:val="24"/>
              </w:rPr>
              <w:t xml:space="preserve">eterminations </w:t>
            </w:r>
            <w:r w:rsidR="00C6411C" w:rsidRPr="008A6D61">
              <w:rPr>
                <w:rFonts w:asciiTheme="minorHAnsi" w:hAnsiTheme="minorHAnsi" w:cstheme="minorHAnsi"/>
                <w:b/>
                <w:bCs/>
                <w:color w:val="F2F2F2" w:themeColor="background1" w:themeShade="F2"/>
                <w:sz w:val="24"/>
              </w:rPr>
              <w:t>c</w:t>
            </w:r>
            <w:r w:rsidRPr="008A6D61">
              <w:rPr>
                <w:rFonts w:asciiTheme="minorHAnsi" w:hAnsiTheme="minorHAnsi" w:cstheme="minorHAnsi"/>
                <w:b/>
                <w:bCs/>
                <w:color w:val="F2F2F2" w:themeColor="background1" w:themeShade="F2"/>
                <w:sz w:val="24"/>
              </w:rPr>
              <w:t>ategories</w:t>
            </w:r>
          </w:p>
        </w:tc>
        <w:tc>
          <w:tcPr>
            <w:tcW w:w="6660" w:type="dxa"/>
            <w:tcBorders>
              <w:top w:val="single" w:sz="12" w:space="0" w:color="80ABCD"/>
              <w:left w:val="single" w:sz="12" w:space="0" w:color="80ABCD"/>
              <w:bottom w:val="single" w:sz="12" w:space="0" w:color="80ABCD"/>
              <w:right w:val="single" w:sz="12" w:space="0" w:color="80ABCD"/>
            </w:tcBorders>
            <w:shd w:val="clear" w:color="auto" w:fill="01579B"/>
            <w:vAlign w:val="bottom"/>
          </w:tcPr>
          <w:p w14:paraId="6AFA95C6" w14:textId="193718BE" w:rsidR="00932050" w:rsidRPr="008A6D61" w:rsidRDefault="00932050" w:rsidP="00FB54B0">
            <w:pPr>
              <w:spacing w:before="80" w:after="80" w:line="280" w:lineRule="atLeast"/>
              <w:rPr>
                <w:rFonts w:asciiTheme="minorHAnsi" w:hAnsiTheme="minorHAnsi" w:cstheme="minorHAnsi"/>
                <w:b/>
                <w:bCs/>
                <w:color w:val="F2F2F2" w:themeColor="background1" w:themeShade="F2"/>
                <w:sz w:val="24"/>
              </w:rPr>
            </w:pPr>
            <w:r w:rsidRPr="008A6D61">
              <w:rPr>
                <w:rFonts w:asciiTheme="minorHAnsi" w:hAnsiTheme="minorHAnsi" w:cstheme="minorHAnsi"/>
                <w:b/>
                <w:bCs/>
                <w:color w:val="F2F2F2" w:themeColor="background1" w:themeShade="F2"/>
                <w:sz w:val="24"/>
              </w:rPr>
              <w:t>Details</w:t>
            </w:r>
          </w:p>
        </w:tc>
        <w:tc>
          <w:tcPr>
            <w:tcW w:w="1813" w:type="dxa"/>
            <w:tcBorders>
              <w:top w:val="single" w:sz="12" w:space="0" w:color="80ABCD"/>
              <w:left w:val="single" w:sz="12" w:space="0" w:color="80ABCD"/>
              <w:bottom w:val="single" w:sz="12" w:space="0" w:color="80ABCD"/>
              <w:right w:val="single" w:sz="12" w:space="0" w:color="80ABCD"/>
            </w:tcBorders>
            <w:shd w:val="clear" w:color="auto" w:fill="01579B"/>
            <w:vAlign w:val="bottom"/>
          </w:tcPr>
          <w:p w14:paraId="6B368955" w14:textId="1E9FF6E6" w:rsidR="00932050" w:rsidRPr="008A6D61" w:rsidRDefault="00932050" w:rsidP="00FB54B0">
            <w:pPr>
              <w:spacing w:before="80" w:after="80" w:line="280" w:lineRule="atLeast"/>
              <w:rPr>
                <w:rFonts w:asciiTheme="minorHAnsi" w:hAnsiTheme="minorHAnsi" w:cstheme="minorHAnsi"/>
                <w:b/>
                <w:bCs/>
                <w:color w:val="F2F2F2" w:themeColor="background1" w:themeShade="F2"/>
                <w:sz w:val="24"/>
              </w:rPr>
            </w:pPr>
            <w:r w:rsidRPr="008A6D61">
              <w:rPr>
                <w:rFonts w:asciiTheme="minorHAnsi" w:hAnsiTheme="minorHAnsi" w:cstheme="minorHAnsi"/>
                <w:b/>
                <w:bCs/>
                <w:color w:val="F2F2F2" w:themeColor="background1" w:themeShade="F2"/>
                <w:sz w:val="24"/>
              </w:rPr>
              <w:t xml:space="preserve">Number of </w:t>
            </w:r>
            <w:r w:rsidR="00C6411C" w:rsidRPr="008A6D61">
              <w:rPr>
                <w:rFonts w:asciiTheme="minorHAnsi" w:hAnsiTheme="minorHAnsi" w:cstheme="minorHAnsi"/>
                <w:b/>
                <w:bCs/>
                <w:color w:val="F2F2F2" w:themeColor="background1" w:themeShade="F2"/>
                <w:sz w:val="24"/>
              </w:rPr>
              <w:t>s</w:t>
            </w:r>
            <w:r w:rsidRPr="008A6D61">
              <w:rPr>
                <w:rFonts w:asciiTheme="minorHAnsi" w:hAnsiTheme="minorHAnsi" w:cstheme="minorHAnsi"/>
                <w:b/>
                <w:bCs/>
                <w:color w:val="F2F2F2" w:themeColor="background1" w:themeShade="F2"/>
                <w:sz w:val="24"/>
              </w:rPr>
              <w:t xml:space="preserve">tates </w:t>
            </w:r>
            <w:r w:rsidR="00C6411C" w:rsidRPr="008A6D61">
              <w:rPr>
                <w:rFonts w:asciiTheme="minorHAnsi" w:hAnsiTheme="minorHAnsi" w:cstheme="minorHAnsi"/>
                <w:b/>
                <w:bCs/>
                <w:color w:val="F2F2F2" w:themeColor="background1" w:themeShade="F2"/>
                <w:sz w:val="24"/>
              </w:rPr>
              <w:t>u</w:t>
            </w:r>
            <w:r w:rsidRPr="008A6D61">
              <w:rPr>
                <w:rFonts w:asciiTheme="minorHAnsi" w:hAnsiTheme="minorHAnsi" w:cstheme="minorHAnsi"/>
                <w:b/>
                <w:bCs/>
                <w:color w:val="F2F2F2" w:themeColor="background1" w:themeShade="F2"/>
                <w:sz w:val="24"/>
              </w:rPr>
              <w:t xml:space="preserve">sing </w:t>
            </w:r>
            <w:r w:rsidR="00C6411C" w:rsidRPr="008A6D61">
              <w:rPr>
                <w:rFonts w:asciiTheme="minorHAnsi" w:hAnsiTheme="minorHAnsi" w:cstheme="minorHAnsi"/>
                <w:b/>
                <w:bCs/>
                <w:color w:val="F2F2F2" w:themeColor="background1" w:themeShade="F2"/>
                <w:sz w:val="24"/>
              </w:rPr>
              <w:t>c</w:t>
            </w:r>
            <w:r w:rsidRPr="008A6D61">
              <w:rPr>
                <w:rFonts w:asciiTheme="minorHAnsi" w:hAnsiTheme="minorHAnsi" w:cstheme="minorHAnsi"/>
                <w:b/>
                <w:bCs/>
                <w:color w:val="F2F2F2" w:themeColor="background1" w:themeShade="F2"/>
                <w:sz w:val="24"/>
              </w:rPr>
              <w:t>riteria</w:t>
            </w:r>
          </w:p>
        </w:tc>
      </w:tr>
      <w:tr w:rsidR="00932050" w:rsidRPr="008A6D61" w14:paraId="3E93C5D5" w14:textId="263F72DF" w:rsidTr="00B17B12">
        <w:trPr>
          <w:cnfStyle w:val="000000010000" w:firstRow="0" w:lastRow="0" w:firstColumn="0" w:lastColumn="0" w:oddVBand="0" w:evenVBand="0" w:oddHBand="0" w:evenHBand="1" w:firstRowFirstColumn="0" w:firstRowLastColumn="0" w:lastRowFirstColumn="0" w:lastRowLastColumn="0"/>
          <w:trHeight w:val="895"/>
        </w:trPr>
        <w:tc>
          <w:tcPr>
            <w:tcW w:w="2605" w:type="dxa"/>
            <w:tcBorders>
              <w:top w:val="single" w:sz="12" w:space="0" w:color="80ABCD"/>
              <w:left w:val="single" w:sz="12" w:space="0" w:color="E0E6ED"/>
              <w:bottom w:val="single" w:sz="12" w:space="0" w:color="E0E6ED"/>
              <w:right w:val="single" w:sz="12" w:space="0" w:color="E0E6ED"/>
            </w:tcBorders>
          </w:tcPr>
          <w:p w14:paraId="761D02A7" w14:textId="35B589FB" w:rsidR="00932050" w:rsidRPr="008A6D61" w:rsidRDefault="00932050" w:rsidP="00FB54B0">
            <w:pPr>
              <w:spacing w:line="300" w:lineRule="atLeast"/>
              <w:rPr>
                <w:rFonts w:asciiTheme="minorHAnsi" w:hAnsiTheme="minorHAnsi" w:cstheme="minorHAnsi"/>
                <w:i/>
                <w:iCs/>
                <w:color w:val="000000" w:themeColor="text1"/>
                <w:sz w:val="21"/>
                <w:szCs w:val="21"/>
              </w:rPr>
            </w:pPr>
            <w:r w:rsidRPr="008A6D61">
              <w:rPr>
                <w:rFonts w:asciiTheme="minorHAnsi" w:hAnsiTheme="minorHAnsi" w:cstheme="minorHAnsi"/>
                <w:color w:val="000000" w:themeColor="text1"/>
                <w:sz w:val="21"/>
                <w:szCs w:val="21"/>
              </w:rPr>
              <w:t xml:space="preserve">Years in </w:t>
            </w:r>
            <w:r w:rsidRPr="008A6D61">
              <w:rPr>
                <w:rFonts w:asciiTheme="minorHAnsi" w:hAnsiTheme="minorHAnsi" w:cstheme="minorHAnsi"/>
                <w:i/>
                <w:iCs/>
                <w:color w:val="000000" w:themeColor="text1"/>
                <w:sz w:val="21"/>
                <w:szCs w:val="21"/>
              </w:rPr>
              <w:t>needs assistance</w:t>
            </w:r>
          </w:p>
        </w:tc>
        <w:tc>
          <w:tcPr>
            <w:tcW w:w="6660" w:type="dxa"/>
            <w:tcBorders>
              <w:top w:val="single" w:sz="12" w:space="0" w:color="80ABCD"/>
              <w:left w:val="single" w:sz="12" w:space="0" w:color="E0E6ED"/>
              <w:bottom w:val="single" w:sz="12" w:space="0" w:color="E0E6ED"/>
              <w:right w:val="single" w:sz="12" w:space="0" w:color="E0E6ED"/>
            </w:tcBorders>
          </w:tcPr>
          <w:p w14:paraId="51FBA91E" w14:textId="2B66B6F5" w:rsidR="00932050" w:rsidRPr="008A6D61" w:rsidRDefault="0014707F" w:rsidP="00FB54B0">
            <w:pPr>
              <w:spacing w:line="300" w:lineRule="atLeast"/>
              <w:rPr>
                <w:rFonts w:asciiTheme="minorHAnsi" w:hAnsiTheme="minorHAnsi" w:cstheme="minorHAnsi"/>
                <w:color w:val="000000" w:themeColor="text1"/>
                <w:sz w:val="21"/>
                <w:szCs w:val="21"/>
              </w:rPr>
            </w:pPr>
            <w:r w:rsidRPr="008A6D61">
              <w:rPr>
                <w:rFonts w:asciiTheme="minorHAnsi" w:hAnsiTheme="minorHAnsi" w:cstheme="minorHAnsi"/>
                <w:color w:val="000000" w:themeColor="text1"/>
                <w:sz w:val="21"/>
                <w:szCs w:val="21"/>
              </w:rPr>
              <w:t xml:space="preserve">States moved </w:t>
            </w:r>
            <w:r w:rsidR="00932050" w:rsidRPr="008A6D61">
              <w:rPr>
                <w:rFonts w:asciiTheme="minorHAnsi" w:hAnsiTheme="minorHAnsi" w:cstheme="minorHAnsi"/>
                <w:color w:val="000000" w:themeColor="text1"/>
                <w:sz w:val="21"/>
                <w:szCs w:val="21"/>
              </w:rPr>
              <w:t xml:space="preserve">LEAs </w:t>
            </w:r>
            <w:r w:rsidR="00B07A24" w:rsidRPr="008A6D61">
              <w:rPr>
                <w:rFonts w:asciiTheme="minorHAnsi" w:hAnsiTheme="minorHAnsi" w:cstheme="minorHAnsi"/>
                <w:color w:val="000000" w:themeColor="text1"/>
                <w:sz w:val="21"/>
                <w:szCs w:val="21"/>
              </w:rPr>
              <w:t xml:space="preserve">for whom </w:t>
            </w:r>
            <w:r w:rsidRPr="008A6D61">
              <w:rPr>
                <w:rFonts w:asciiTheme="minorHAnsi" w:hAnsiTheme="minorHAnsi" w:cstheme="minorHAnsi"/>
                <w:color w:val="000000" w:themeColor="text1"/>
                <w:sz w:val="21"/>
                <w:szCs w:val="21"/>
              </w:rPr>
              <w:t xml:space="preserve">they </w:t>
            </w:r>
            <w:r w:rsidR="00932050" w:rsidRPr="008A6D61">
              <w:rPr>
                <w:rFonts w:asciiTheme="minorHAnsi" w:hAnsiTheme="minorHAnsi" w:cstheme="minorHAnsi"/>
                <w:color w:val="000000" w:themeColor="text1"/>
                <w:sz w:val="21"/>
                <w:szCs w:val="21"/>
              </w:rPr>
              <w:t xml:space="preserve">issued a determination of </w:t>
            </w:r>
            <w:r w:rsidR="00932050" w:rsidRPr="008A6D61">
              <w:rPr>
                <w:rFonts w:asciiTheme="minorHAnsi" w:hAnsiTheme="minorHAnsi" w:cstheme="minorHAnsi"/>
                <w:i/>
                <w:color w:val="000000" w:themeColor="text1"/>
                <w:sz w:val="21"/>
                <w:szCs w:val="21"/>
              </w:rPr>
              <w:t>needs assistance</w:t>
            </w:r>
            <w:r w:rsidR="00932050" w:rsidRPr="008A6D61">
              <w:rPr>
                <w:rFonts w:asciiTheme="minorHAnsi" w:hAnsiTheme="minorHAnsi" w:cstheme="minorHAnsi"/>
                <w:color w:val="000000" w:themeColor="text1"/>
                <w:sz w:val="21"/>
                <w:szCs w:val="21"/>
              </w:rPr>
              <w:t xml:space="preserve"> for </w:t>
            </w:r>
            <w:r w:rsidR="00BB54DE" w:rsidRPr="008A6D61">
              <w:rPr>
                <w:rFonts w:asciiTheme="minorHAnsi" w:hAnsiTheme="minorHAnsi" w:cstheme="minorHAnsi"/>
                <w:color w:val="000000" w:themeColor="text1"/>
                <w:sz w:val="21"/>
                <w:szCs w:val="21"/>
              </w:rPr>
              <w:t xml:space="preserve">3 </w:t>
            </w:r>
            <w:r w:rsidR="00932050" w:rsidRPr="008A6D61">
              <w:rPr>
                <w:rFonts w:asciiTheme="minorHAnsi" w:hAnsiTheme="minorHAnsi" w:cstheme="minorHAnsi"/>
                <w:color w:val="000000" w:themeColor="text1"/>
                <w:sz w:val="21"/>
                <w:szCs w:val="21"/>
              </w:rPr>
              <w:t xml:space="preserve">consecutive years or more to the category of </w:t>
            </w:r>
            <w:r w:rsidR="00932050" w:rsidRPr="008A6D61">
              <w:rPr>
                <w:rFonts w:asciiTheme="minorHAnsi" w:hAnsiTheme="minorHAnsi" w:cstheme="minorHAnsi"/>
                <w:i/>
                <w:color w:val="000000" w:themeColor="text1"/>
                <w:sz w:val="21"/>
                <w:szCs w:val="21"/>
              </w:rPr>
              <w:t>needs intervention</w:t>
            </w:r>
            <w:r w:rsidR="00932050" w:rsidRPr="008A6D61">
              <w:rPr>
                <w:rFonts w:asciiTheme="minorHAnsi" w:hAnsiTheme="minorHAnsi" w:cstheme="minorHAnsi"/>
                <w:color w:val="000000" w:themeColor="text1"/>
                <w:sz w:val="21"/>
                <w:szCs w:val="21"/>
              </w:rPr>
              <w:t>.</w:t>
            </w:r>
          </w:p>
        </w:tc>
        <w:tc>
          <w:tcPr>
            <w:tcW w:w="1813" w:type="dxa"/>
            <w:tcBorders>
              <w:top w:val="single" w:sz="12" w:space="0" w:color="80ABCD"/>
              <w:left w:val="single" w:sz="12" w:space="0" w:color="E0E6ED"/>
              <w:bottom w:val="single" w:sz="12" w:space="0" w:color="E0E6ED"/>
              <w:right w:val="single" w:sz="12" w:space="0" w:color="E0E6ED"/>
            </w:tcBorders>
          </w:tcPr>
          <w:p w14:paraId="6B26AB8D" w14:textId="3AD4A21F" w:rsidR="00932050" w:rsidRPr="008A6D61" w:rsidRDefault="00932050" w:rsidP="00FB54B0">
            <w:pPr>
              <w:spacing w:line="300" w:lineRule="atLeast"/>
              <w:rPr>
                <w:rFonts w:asciiTheme="minorHAnsi" w:hAnsiTheme="minorHAnsi" w:cstheme="minorHAnsi"/>
                <w:color w:val="000000" w:themeColor="text1"/>
                <w:sz w:val="21"/>
                <w:szCs w:val="21"/>
              </w:rPr>
            </w:pPr>
            <w:r w:rsidRPr="008A6D61">
              <w:rPr>
                <w:rFonts w:asciiTheme="minorHAnsi" w:hAnsiTheme="minorHAnsi" w:cstheme="minorHAnsi"/>
                <w:color w:val="000000" w:themeColor="text1"/>
                <w:sz w:val="21"/>
                <w:szCs w:val="21"/>
              </w:rPr>
              <w:t>1</w:t>
            </w:r>
            <w:r w:rsidR="007B4DD9" w:rsidRPr="008A6D61">
              <w:rPr>
                <w:rFonts w:asciiTheme="minorHAnsi" w:hAnsiTheme="minorHAnsi" w:cstheme="minorHAnsi"/>
                <w:color w:val="000000" w:themeColor="text1"/>
                <w:sz w:val="21"/>
                <w:szCs w:val="21"/>
              </w:rPr>
              <w:t xml:space="preserve"> state</w:t>
            </w:r>
          </w:p>
        </w:tc>
      </w:tr>
      <w:tr w:rsidR="00932050" w:rsidRPr="008A6D61" w14:paraId="1E446E31" w14:textId="4590388F" w:rsidTr="00FB54B0">
        <w:trPr>
          <w:cnfStyle w:val="000000100000" w:firstRow="0" w:lastRow="0" w:firstColumn="0" w:lastColumn="0" w:oddVBand="0" w:evenVBand="0" w:oddHBand="1" w:evenHBand="0" w:firstRowFirstColumn="0" w:firstRowLastColumn="0" w:lastRowFirstColumn="0" w:lastRowLastColumn="0"/>
        </w:trPr>
        <w:tc>
          <w:tcPr>
            <w:tcW w:w="2605" w:type="dxa"/>
            <w:tcBorders>
              <w:top w:val="single" w:sz="12" w:space="0" w:color="E0E6ED"/>
              <w:left w:val="single" w:sz="12" w:space="0" w:color="E0E6ED"/>
              <w:bottom w:val="single" w:sz="12" w:space="0" w:color="E0E6ED"/>
              <w:right w:val="single" w:sz="12" w:space="0" w:color="E0E6ED"/>
            </w:tcBorders>
            <w:shd w:val="clear" w:color="auto" w:fill="EDF3FA"/>
          </w:tcPr>
          <w:p w14:paraId="46193F5D" w14:textId="579D84E1" w:rsidR="00932050" w:rsidRPr="008A6D61" w:rsidRDefault="00932050" w:rsidP="00FB54B0">
            <w:pPr>
              <w:spacing w:line="300" w:lineRule="atLeast"/>
              <w:rPr>
                <w:rFonts w:asciiTheme="minorHAnsi" w:hAnsiTheme="minorHAnsi" w:cstheme="minorHAnsi"/>
                <w:color w:val="000000" w:themeColor="text1"/>
                <w:sz w:val="21"/>
                <w:szCs w:val="21"/>
              </w:rPr>
            </w:pPr>
            <w:r w:rsidRPr="008A6D61">
              <w:rPr>
                <w:rFonts w:asciiTheme="minorHAnsi" w:hAnsiTheme="minorHAnsi" w:cstheme="minorHAnsi"/>
                <w:color w:val="000000" w:themeColor="text1"/>
                <w:sz w:val="21"/>
                <w:szCs w:val="21"/>
              </w:rPr>
              <w:t>Variable</w:t>
            </w:r>
          </w:p>
        </w:tc>
        <w:tc>
          <w:tcPr>
            <w:tcW w:w="6660" w:type="dxa"/>
            <w:tcBorders>
              <w:top w:val="single" w:sz="12" w:space="0" w:color="E0E6ED"/>
              <w:left w:val="single" w:sz="12" w:space="0" w:color="E0E6ED"/>
              <w:bottom w:val="single" w:sz="12" w:space="0" w:color="E0E6ED"/>
              <w:right w:val="single" w:sz="12" w:space="0" w:color="E0E6ED"/>
            </w:tcBorders>
            <w:shd w:val="clear" w:color="auto" w:fill="EDF3FA"/>
          </w:tcPr>
          <w:p w14:paraId="51A0BB76" w14:textId="76ADF457" w:rsidR="00932050" w:rsidRPr="008A6D61" w:rsidRDefault="00932050" w:rsidP="00FB54B0">
            <w:pPr>
              <w:spacing w:line="300" w:lineRule="atLeast"/>
              <w:rPr>
                <w:rFonts w:asciiTheme="minorHAnsi" w:hAnsiTheme="minorHAnsi" w:cstheme="minorHAnsi"/>
                <w:color w:val="000000" w:themeColor="text1"/>
                <w:sz w:val="21"/>
                <w:szCs w:val="21"/>
              </w:rPr>
            </w:pPr>
            <w:r w:rsidRPr="008A6D61">
              <w:rPr>
                <w:rFonts w:asciiTheme="minorHAnsi" w:hAnsiTheme="minorHAnsi" w:cstheme="minorHAnsi"/>
                <w:color w:val="000000" w:themeColor="text1"/>
                <w:sz w:val="21"/>
                <w:szCs w:val="21"/>
              </w:rPr>
              <w:t xml:space="preserve">For all determination categories, the data </w:t>
            </w:r>
            <w:r w:rsidR="0014707F" w:rsidRPr="008A6D61">
              <w:rPr>
                <w:rFonts w:asciiTheme="minorHAnsi" w:hAnsiTheme="minorHAnsi" w:cstheme="minorHAnsi"/>
                <w:color w:val="000000" w:themeColor="text1"/>
                <w:sz w:val="21"/>
                <w:szCs w:val="21"/>
              </w:rPr>
              <w:t xml:space="preserve">states </w:t>
            </w:r>
            <w:r w:rsidRPr="008A6D61">
              <w:rPr>
                <w:rFonts w:asciiTheme="minorHAnsi" w:hAnsiTheme="minorHAnsi" w:cstheme="minorHAnsi"/>
                <w:color w:val="000000" w:themeColor="text1"/>
                <w:sz w:val="21"/>
                <w:szCs w:val="21"/>
              </w:rPr>
              <w:t>included for LEA determinations change</w:t>
            </w:r>
            <w:r w:rsidR="004312DB" w:rsidRPr="008A6D61">
              <w:rPr>
                <w:rFonts w:asciiTheme="minorHAnsi" w:hAnsiTheme="minorHAnsi" w:cstheme="minorHAnsi"/>
                <w:color w:val="000000" w:themeColor="text1"/>
                <w:sz w:val="21"/>
                <w:szCs w:val="21"/>
              </w:rPr>
              <w:t>d</w:t>
            </w:r>
            <w:r w:rsidRPr="008A6D61">
              <w:rPr>
                <w:rFonts w:asciiTheme="minorHAnsi" w:hAnsiTheme="minorHAnsi" w:cstheme="minorHAnsi"/>
                <w:color w:val="000000" w:themeColor="text1"/>
                <w:sz w:val="21"/>
                <w:szCs w:val="21"/>
              </w:rPr>
              <w:t xml:space="preserve"> consistently, and with change</w:t>
            </w:r>
            <w:r w:rsidR="0014707F" w:rsidRPr="008A6D61">
              <w:rPr>
                <w:rFonts w:asciiTheme="minorHAnsi" w:hAnsiTheme="minorHAnsi" w:cstheme="minorHAnsi"/>
                <w:color w:val="000000" w:themeColor="text1"/>
                <w:sz w:val="21"/>
                <w:szCs w:val="21"/>
              </w:rPr>
              <w:t>s</w:t>
            </w:r>
            <w:r w:rsidRPr="008A6D61">
              <w:rPr>
                <w:rFonts w:asciiTheme="minorHAnsi" w:hAnsiTheme="minorHAnsi" w:cstheme="minorHAnsi"/>
                <w:color w:val="000000" w:themeColor="text1"/>
                <w:sz w:val="21"/>
                <w:szCs w:val="21"/>
              </w:rPr>
              <w:t xml:space="preserve"> in data </w:t>
            </w:r>
            <w:r w:rsidR="0014707F" w:rsidRPr="008A6D61">
              <w:rPr>
                <w:rFonts w:asciiTheme="minorHAnsi" w:hAnsiTheme="minorHAnsi" w:cstheme="minorHAnsi"/>
                <w:color w:val="000000" w:themeColor="text1"/>
                <w:sz w:val="21"/>
                <w:szCs w:val="21"/>
              </w:rPr>
              <w:t xml:space="preserve">states </w:t>
            </w:r>
            <w:r w:rsidRPr="008A6D61">
              <w:rPr>
                <w:rFonts w:asciiTheme="minorHAnsi" w:hAnsiTheme="minorHAnsi" w:cstheme="minorHAnsi"/>
                <w:color w:val="000000" w:themeColor="text1"/>
                <w:sz w:val="21"/>
                <w:szCs w:val="21"/>
              </w:rPr>
              <w:t>use</w:t>
            </w:r>
            <w:r w:rsidR="00AC588D" w:rsidRPr="008A6D61">
              <w:rPr>
                <w:rFonts w:asciiTheme="minorHAnsi" w:hAnsiTheme="minorHAnsi" w:cstheme="minorHAnsi"/>
                <w:color w:val="000000" w:themeColor="text1"/>
                <w:sz w:val="21"/>
                <w:szCs w:val="21"/>
              </w:rPr>
              <w:t>d</w:t>
            </w:r>
            <w:r w:rsidRPr="008A6D61">
              <w:rPr>
                <w:rFonts w:asciiTheme="minorHAnsi" w:hAnsiTheme="minorHAnsi" w:cstheme="minorHAnsi"/>
                <w:color w:val="000000" w:themeColor="text1"/>
                <w:sz w:val="21"/>
                <w:szCs w:val="21"/>
              </w:rPr>
              <w:t>, the determination category criteria change</w:t>
            </w:r>
            <w:r w:rsidR="004312DB" w:rsidRPr="008A6D61">
              <w:rPr>
                <w:rFonts w:asciiTheme="minorHAnsi" w:hAnsiTheme="minorHAnsi" w:cstheme="minorHAnsi"/>
                <w:color w:val="000000" w:themeColor="text1"/>
                <w:sz w:val="21"/>
                <w:szCs w:val="21"/>
              </w:rPr>
              <w:t>d</w:t>
            </w:r>
            <w:r w:rsidRPr="008A6D61">
              <w:rPr>
                <w:rFonts w:asciiTheme="minorHAnsi" w:hAnsiTheme="minorHAnsi" w:cstheme="minorHAnsi"/>
                <w:color w:val="000000" w:themeColor="text1"/>
                <w:sz w:val="21"/>
                <w:szCs w:val="21"/>
              </w:rPr>
              <w:t xml:space="preserve"> as well</w:t>
            </w:r>
            <w:r w:rsidR="0014707F" w:rsidRPr="008A6D61">
              <w:rPr>
                <w:rFonts w:asciiTheme="minorHAnsi" w:hAnsiTheme="minorHAnsi" w:cstheme="minorHAnsi"/>
                <w:color w:val="000000" w:themeColor="text1"/>
                <w:sz w:val="21"/>
                <w:szCs w:val="21"/>
              </w:rPr>
              <w:t>.</w:t>
            </w:r>
          </w:p>
        </w:tc>
        <w:tc>
          <w:tcPr>
            <w:tcW w:w="1813" w:type="dxa"/>
            <w:tcBorders>
              <w:top w:val="single" w:sz="12" w:space="0" w:color="E0E6ED"/>
              <w:left w:val="single" w:sz="12" w:space="0" w:color="E0E6ED"/>
              <w:bottom w:val="single" w:sz="12" w:space="0" w:color="E0E6ED"/>
              <w:right w:val="single" w:sz="12" w:space="0" w:color="E0E6ED"/>
            </w:tcBorders>
            <w:shd w:val="clear" w:color="auto" w:fill="EDF3FA"/>
          </w:tcPr>
          <w:p w14:paraId="48D69500" w14:textId="6FC5A3AE" w:rsidR="00932050" w:rsidRPr="008A6D61" w:rsidRDefault="00932050" w:rsidP="00FB54B0">
            <w:pPr>
              <w:spacing w:line="300" w:lineRule="atLeast"/>
              <w:rPr>
                <w:rFonts w:asciiTheme="minorHAnsi" w:hAnsiTheme="minorHAnsi" w:cstheme="minorHAnsi"/>
                <w:color w:val="000000" w:themeColor="text1"/>
                <w:sz w:val="21"/>
                <w:szCs w:val="21"/>
              </w:rPr>
            </w:pPr>
            <w:r w:rsidRPr="008A6D61">
              <w:rPr>
                <w:rFonts w:asciiTheme="minorHAnsi" w:hAnsiTheme="minorHAnsi" w:cstheme="minorHAnsi"/>
                <w:color w:val="000000" w:themeColor="text1"/>
                <w:sz w:val="21"/>
                <w:szCs w:val="21"/>
              </w:rPr>
              <w:t>1</w:t>
            </w:r>
            <w:r w:rsidR="007B4DD9" w:rsidRPr="008A6D61">
              <w:rPr>
                <w:rFonts w:asciiTheme="minorHAnsi" w:hAnsiTheme="minorHAnsi" w:cstheme="minorHAnsi"/>
                <w:color w:val="000000" w:themeColor="text1"/>
                <w:sz w:val="21"/>
                <w:szCs w:val="21"/>
              </w:rPr>
              <w:t xml:space="preserve"> state</w:t>
            </w:r>
          </w:p>
        </w:tc>
      </w:tr>
      <w:tr w:rsidR="00932050" w:rsidRPr="008A6D61" w14:paraId="6E5C3062" w14:textId="6B1EECAD" w:rsidTr="00FB54B0">
        <w:trPr>
          <w:cnfStyle w:val="000000010000" w:firstRow="0" w:lastRow="0" w:firstColumn="0" w:lastColumn="0" w:oddVBand="0" w:evenVBand="0" w:oddHBand="0" w:evenHBand="1" w:firstRowFirstColumn="0" w:firstRowLastColumn="0" w:lastRowFirstColumn="0" w:lastRowLastColumn="0"/>
        </w:trPr>
        <w:tc>
          <w:tcPr>
            <w:tcW w:w="2605" w:type="dxa"/>
            <w:tcBorders>
              <w:top w:val="single" w:sz="12" w:space="0" w:color="E0E6ED"/>
              <w:left w:val="single" w:sz="12" w:space="0" w:color="E0E6ED"/>
              <w:bottom w:val="single" w:sz="12" w:space="0" w:color="E0E6ED"/>
              <w:right w:val="single" w:sz="12" w:space="0" w:color="E0E6ED"/>
            </w:tcBorders>
          </w:tcPr>
          <w:p w14:paraId="42441CDA" w14:textId="42E5C8D1" w:rsidR="00932050" w:rsidRPr="008A6D61" w:rsidRDefault="00932050" w:rsidP="00FB54B0">
            <w:pPr>
              <w:spacing w:line="300" w:lineRule="atLeast"/>
              <w:rPr>
                <w:rFonts w:asciiTheme="minorHAnsi" w:hAnsiTheme="minorHAnsi" w:cstheme="minorHAnsi"/>
                <w:color w:val="000000" w:themeColor="text1"/>
                <w:sz w:val="21"/>
                <w:szCs w:val="21"/>
              </w:rPr>
            </w:pPr>
            <w:r w:rsidRPr="008A6D61">
              <w:rPr>
                <w:rFonts w:asciiTheme="minorHAnsi" w:hAnsiTheme="minorHAnsi" w:cstheme="minorHAnsi"/>
                <w:color w:val="000000" w:themeColor="text1"/>
                <w:sz w:val="21"/>
                <w:szCs w:val="21"/>
              </w:rPr>
              <w:t>Points earned</w:t>
            </w:r>
          </w:p>
        </w:tc>
        <w:tc>
          <w:tcPr>
            <w:tcW w:w="6660" w:type="dxa"/>
            <w:tcBorders>
              <w:top w:val="single" w:sz="12" w:space="0" w:color="E0E6ED"/>
              <w:left w:val="single" w:sz="12" w:space="0" w:color="E0E6ED"/>
              <w:bottom w:val="single" w:sz="12" w:space="0" w:color="E0E6ED"/>
              <w:right w:val="single" w:sz="12" w:space="0" w:color="E0E6ED"/>
            </w:tcBorders>
          </w:tcPr>
          <w:p w14:paraId="4E5CAD40" w14:textId="77777777" w:rsidR="00FB54B0" w:rsidRPr="008A6D61" w:rsidRDefault="0014707F" w:rsidP="00FB54B0">
            <w:pPr>
              <w:spacing w:line="300" w:lineRule="atLeast"/>
              <w:rPr>
                <w:rFonts w:asciiTheme="minorHAnsi" w:hAnsiTheme="minorHAnsi" w:cstheme="minorHAnsi"/>
                <w:color w:val="000000" w:themeColor="text1"/>
                <w:sz w:val="21"/>
                <w:szCs w:val="21"/>
              </w:rPr>
            </w:pPr>
            <w:r w:rsidRPr="008A6D61">
              <w:rPr>
                <w:rFonts w:asciiTheme="minorHAnsi" w:hAnsiTheme="minorHAnsi" w:cstheme="minorHAnsi"/>
                <w:color w:val="000000" w:themeColor="text1"/>
                <w:sz w:val="21"/>
                <w:szCs w:val="21"/>
              </w:rPr>
              <w:t>States pre-assigned p</w:t>
            </w:r>
            <w:r w:rsidR="007B4DD9" w:rsidRPr="008A6D61">
              <w:rPr>
                <w:rFonts w:asciiTheme="minorHAnsi" w:hAnsiTheme="minorHAnsi" w:cstheme="minorHAnsi"/>
                <w:color w:val="000000" w:themeColor="text1"/>
                <w:sz w:val="21"/>
                <w:szCs w:val="21"/>
              </w:rPr>
              <w:t xml:space="preserve">oints to the data elements </w:t>
            </w:r>
            <w:r w:rsidRPr="008A6D61">
              <w:rPr>
                <w:rFonts w:asciiTheme="minorHAnsi" w:hAnsiTheme="minorHAnsi" w:cstheme="minorHAnsi"/>
                <w:color w:val="000000" w:themeColor="text1"/>
                <w:sz w:val="21"/>
                <w:szCs w:val="21"/>
              </w:rPr>
              <w:t xml:space="preserve">they </w:t>
            </w:r>
            <w:r w:rsidR="007B4DD9" w:rsidRPr="008A6D61">
              <w:rPr>
                <w:rFonts w:asciiTheme="minorHAnsi" w:hAnsiTheme="minorHAnsi" w:cstheme="minorHAnsi"/>
                <w:color w:val="000000" w:themeColor="text1"/>
                <w:sz w:val="21"/>
                <w:szCs w:val="21"/>
              </w:rPr>
              <w:t>included for issuing determinations.</w:t>
            </w:r>
          </w:p>
          <w:p w14:paraId="00BA5867" w14:textId="1723AAD0" w:rsidR="007B4DD9" w:rsidRPr="008A6D61" w:rsidRDefault="0014707F" w:rsidP="00FB54B0">
            <w:pPr>
              <w:spacing w:line="300" w:lineRule="atLeast"/>
              <w:rPr>
                <w:rFonts w:asciiTheme="minorHAnsi" w:hAnsiTheme="minorHAnsi" w:cstheme="minorHAnsi"/>
                <w:color w:val="000000" w:themeColor="text1"/>
                <w:sz w:val="21"/>
                <w:szCs w:val="21"/>
              </w:rPr>
            </w:pPr>
            <w:r w:rsidRPr="008A6D61">
              <w:rPr>
                <w:rFonts w:asciiTheme="minorHAnsi" w:hAnsiTheme="minorHAnsi" w:cstheme="minorHAnsi"/>
                <w:color w:val="000000" w:themeColor="text1"/>
                <w:sz w:val="21"/>
                <w:szCs w:val="21"/>
              </w:rPr>
              <w:t>States pre-assigned p</w:t>
            </w:r>
            <w:r w:rsidR="007B4DD9" w:rsidRPr="008A6D61">
              <w:rPr>
                <w:rFonts w:asciiTheme="minorHAnsi" w:hAnsiTheme="minorHAnsi" w:cstheme="minorHAnsi"/>
                <w:color w:val="000000" w:themeColor="text1"/>
                <w:sz w:val="21"/>
                <w:szCs w:val="21"/>
              </w:rPr>
              <w:t>oints in a variety of ways, based on the state, but most states using this method assign</w:t>
            </w:r>
            <w:r w:rsidRPr="008A6D61">
              <w:rPr>
                <w:rFonts w:asciiTheme="minorHAnsi" w:hAnsiTheme="minorHAnsi" w:cstheme="minorHAnsi"/>
                <w:color w:val="000000" w:themeColor="text1"/>
                <w:sz w:val="21"/>
                <w:szCs w:val="21"/>
              </w:rPr>
              <w:t>ed</w:t>
            </w:r>
            <w:r w:rsidR="007B4DD9" w:rsidRPr="008A6D61">
              <w:rPr>
                <w:rFonts w:asciiTheme="minorHAnsi" w:hAnsiTheme="minorHAnsi" w:cstheme="minorHAnsi"/>
                <w:color w:val="000000" w:themeColor="text1"/>
                <w:sz w:val="21"/>
                <w:szCs w:val="21"/>
              </w:rPr>
              <w:t xml:space="preserve"> points based on cut scores. </w:t>
            </w:r>
          </w:p>
          <w:p w14:paraId="4EBECBE7" w14:textId="77777777" w:rsidR="00FB54B0" w:rsidRPr="008A6D61" w:rsidRDefault="007B4DD9" w:rsidP="00FB54B0">
            <w:pPr>
              <w:spacing w:line="300" w:lineRule="atLeast"/>
              <w:rPr>
                <w:rFonts w:asciiTheme="minorHAnsi" w:hAnsiTheme="minorHAnsi" w:cstheme="minorHAnsi"/>
                <w:color w:val="000000" w:themeColor="text1"/>
                <w:sz w:val="21"/>
                <w:szCs w:val="21"/>
              </w:rPr>
            </w:pPr>
            <w:r w:rsidRPr="008A6D61">
              <w:rPr>
                <w:rFonts w:asciiTheme="minorHAnsi" w:hAnsiTheme="minorHAnsi" w:cstheme="minorHAnsi"/>
                <w:i/>
                <w:iCs/>
                <w:color w:val="000000" w:themeColor="text1"/>
                <w:sz w:val="21"/>
                <w:szCs w:val="21"/>
              </w:rPr>
              <w:t xml:space="preserve">Example: </w:t>
            </w:r>
            <w:r w:rsidR="004A2F05" w:rsidRPr="008A6D61">
              <w:rPr>
                <w:rFonts w:asciiTheme="minorHAnsi" w:hAnsiTheme="minorHAnsi" w:cstheme="minorHAnsi"/>
                <w:i/>
                <w:iCs/>
                <w:color w:val="000000" w:themeColor="text1"/>
                <w:sz w:val="21"/>
                <w:szCs w:val="21"/>
              </w:rPr>
              <w:t>F</w:t>
            </w:r>
            <w:r w:rsidRPr="008A6D61">
              <w:rPr>
                <w:rFonts w:asciiTheme="minorHAnsi" w:hAnsiTheme="minorHAnsi" w:cstheme="minorHAnsi"/>
                <w:i/>
                <w:iCs/>
                <w:color w:val="000000" w:themeColor="text1"/>
                <w:sz w:val="21"/>
                <w:szCs w:val="21"/>
              </w:rPr>
              <w:t xml:space="preserve">or Indicator 11, </w:t>
            </w:r>
            <w:r w:rsidR="0014707F" w:rsidRPr="008A6D61">
              <w:rPr>
                <w:rFonts w:asciiTheme="minorHAnsi" w:hAnsiTheme="minorHAnsi" w:cstheme="minorHAnsi"/>
                <w:i/>
                <w:iCs/>
                <w:color w:val="000000" w:themeColor="text1"/>
                <w:sz w:val="21"/>
                <w:szCs w:val="21"/>
              </w:rPr>
              <w:t>states assign</w:t>
            </w:r>
            <w:r w:rsidR="00884FB4" w:rsidRPr="008A6D61">
              <w:rPr>
                <w:rFonts w:asciiTheme="minorHAnsi" w:hAnsiTheme="minorHAnsi" w:cstheme="minorHAnsi"/>
                <w:i/>
                <w:iCs/>
                <w:color w:val="000000" w:themeColor="text1"/>
                <w:sz w:val="21"/>
                <w:szCs w:val="21"/>
              </w:rPr>
              <w:t>ed</w:t>
            </w:r>
            <w:r w:rsidR="0014707F" w:rsidRPr="008A6D61">
              <w:rPr>
                <w:rFonts w:asciiTheme="minorHAnsi" w:hAnsiTheme="minorHAnsi" w:cstheme="minorHAnsi"/>
                <w:i/>
                <w:iCs/>
                <w:color w:val="000000" w:themeColor="text1"/>
                <w:sz w:val="21"/>
                <w:szCs w:val="21"/>
              </w:rPr>
              <w:t xml:space="preserve"> </w:t>
            </w:r>
            <w:r w:rsidR="004A2F05" w:rsidRPr="008A6D61">
              <w:rPr>
                <w:rFonts w:asciiTheme="minorHAnsi" w:hAnsiTheme="minorHAnsi" w:cstheme="minorHAnsi"/>
                <w:i/>
                <w:iCs/>
                <w:color w:val="000000" w:themeColor="text1"/>
                <w:sz w:val="21"/>
                <w:szCs w:val="21"/>
              </w:rPr>
              <w:t>2</w:t>
            </w:r>
            <w:r w:rsidR="0014707F" w:rsidRPr="008A6D61">
              <w:rPr>
                <w:rFonts w:asciiTheme="minorHAnsi" w:hAnsiTheme="minorHAnsi" w:cstheme="minorHAnsi"/>
                <w:i/>
                <w:iCs/>
                <w:color w:val="000000" w:themeColor="text1"/>
                <w:sz w:val="21"/>
                <w:szCs w:val="21"/>
              </w:rPr>
              <w:t xml:space="preserve"> points for </w:t>
            </w:r>
            <w:r w:rsidRPr="008A6D61">
              <w:rPr>
                <w:rFonts w:asciiTheme="minorHAnsi" w:hAnsiTheme="minorHAnsi" w:cstheme="minorHAnsi"/>
                <w:i/>
                <w:iCs/>
                <w:color w:val="000000" w:themeColor="text1"/>
                <w:sz w:val="21"/>
                <w:szCs w:val="21"/>
              </w:rPr>
              <w:t xml:space="preserve">90 percent and above compliance, </w:t>
            </w:r>
            <w:r w:rsidR="004A2F05" w:rsidRPr="008A6D61">
              <w:rPr>
                <w:rFonts w:asciiTheme="minorHAnsi" w:hAnsiTheme="minorHAnsi" w:cstheme="minorHAnsi"/>
                <w:i/>
                <w:iCs/>
                <w:color w:val="000000" w:themeColor="text1"/>
                <w:sz w:val="21"/>
                <w:szCs w:val="21"/>
              </w:rPr>
              <w:t>1</w:t>
            </w:r>
            <w:r w:rsidR="0014707F" w:rsidRPr="008A6D61">
              <w:rPr>
                <w:rFonts w:asciiTheme="minorHAnsi" w:hAnsiTheme="minorHAnsi" w:cstheme="minorHAnsi"/>
                <w:i/>
                <w:iCs/>
                <w:color w:val="000000" w:themeColor="text1"/>
                <w:sz w:val="21"/>
                <w:szCs w:val="21"/>
              </w:rPr>
              <w:t xml:space="preserve"> point for </w:t>
            </w:r>
            <w:r w:rsidRPr="008A6D61">
              <w:rPr>
                <w:rFonts w:asciiTheme="minorHAnsi" w:hAnsiTheme="minorHAnsi" w:cstheme="minorHAnsi"/>
                <w:i/>
                <w:iCs/>
                <w:color w:val="000000" w:themeColor="text1"/>
                <w:sz w:val="21"/>
                <w:szCs w:val="21"/>
              </w:rPr>
              <w:t xml:space="preserve">60 percent to less than 90 percent compliance, and </w:t>
            </w:r>
            <w:r w:rsidR="004A2F05" w:rsidRPr="008A6D61">
              <w:rPr>
                <w:rFonts w:asciiTheme="minorHAnsi" w:hAnsiTheme="minorHAnsi" w:cstheme="minorHAnsi"/>
                <w:i/>
                <w:iCs/>
                <w:color w:val="000000" w:themeColor="text1"/>
                <w:sz w:val="21"/>
                <w:szCs w:val="21"/>
              </w:rPr>
              <w:t>0</w:t>
            </w:r>
            <w:r w:rsidR="0014707F" w:rsidRPr="008A6D61">
              <w:rPr>
                <w:rFonts w:asciiTheme="minorHAnsi" w:hAnsiTheme="minorHAnsi" w:cstheme="minorHAnsi"/>
                <w:i/>
                <w:iCs/>
                <w:color w:val="000000" w:themeColor="text1"/>
                <w:sz w:val="21"/>
                <w:szCs w:val="21"/>
              </w:rPr>
              <w:t xml:space="preserve"> points for </w:t>
            </w:r>
            <w:r w:rsidRPr="008A6D61">
              <w:rPr>
                <w:rFonts w:asciiTheme="minorHAnsi" w:hAnsiTheme="minorHAnsi" w:cstheme="minorHAnsi"/>
                <w:i/>
                <w:iCs/>
                <w:color w:val="000000" w:themeColor="text1"/>
                <w:sz w:val="21"/>
                <w:szCs w:val="21"/>
              </w:rPr>
              <w:t>less than 60 percent compliance.</w:t>
            </w:r>
          </w:p>
          <w:p w14:paraId="0703109B" w14:textId="546F5939" w:rsidR="007B4DD9" w:rsidRPr="008A6D61" w:rsidRDefault="007B4DD9" w:rsidP="00FB54B0">
            <w:pPr>
              <w:spacing w:line="300" w:lineRule="atLeast"/>
              <w:rPr>
                <w:rFonts w:asciiTheme="minorHAnsi" w:hAnsiTheme="minorHAnsi" w:cstheme="minorHAnsi"/>
                <w:color w:val="000000" w:themeColor="text1"/>
                <w:sz w:val="21"/>
                <w:szCs w:val="21"/>
              </w:rPr>
            </w:pPr>
            <w:r w:rsidRPr="008A6D61">
              <w:rPr>
                <w:rFonts w:asciiTheme="minorHAnsi" w:hAnsiTheme="minorHAnsi" w:cstheme="minorHAnsi"/>
                <w:color w:val="000000" w:themeColor="text1"/>
                <w:sz w:val="21"/>
                <w:szCs w:val="21"/>
              </w:rPr>
              <w:t>States also assign</w:t>
            </w:r>
            <w:r w:rsidR="00492EAB" w:rsidRPr="008A6D61">
              <w:rPr>
                <w:rFonts w:asciiTheme="minorHAnsi" w:hAnsiTheme="minorHAnsi" w:cstheme="minorHAnsi"/>
                <w:color w:val="000000" w:themeColor="text1"/>
                <w:sz w:val="21"/>
                <w:szCs w:val="21"/>
              </w:rPr>
              <w:t>ed</w:t>
            </w:r>
            <w:r w:rsidRPr="008A6D61">
              <w:rPr>
                <w:rFonts w:asciiTheme="minorHAnsi" w:hAnsiTheme="minorHAnsi" w:cstheme="minorHAnsi"/>
                <w:color w:val="000000" w:themeColor="text1"/>
                <w:sz w:val="21"/>
                <w:szCs w:val="21"/>
              </w:rPr>
              <w:t xml:space="preserve"> points based on </w:t>
            </w:r>
            <w:r w:rsidR="004E5766" w:rsidRPr="008A6D61">
              <w:rPr>
                <w:rFonts w:asciiTheme="minorHAnsi" w:hAnsiTheme="minorHAnsi" w:cstheme="minorHAnsi"/>
                <w:color w:val="000000" w:themeColor="text1"/>
                <w:sz w:val="21"/>
                <w:szCs w:val="21"/>
              </w:rPr>
              <w:t xml:space="preserve">LEAs meeting </w:t>
            </w:r>
            <w:r w:rsidRPr="008A6D61">
              <w:rPr>
                <w:rFonts w:asciiTheme="minorHAnsi" w:hAnsiTheme="minorHAnsi" w:cstheme="minorHAnsi"/>
                <w:color w:val="000000" w:themeColor="text1"/>
                <w:sz w:val="21"/>
                <w:szCs w:val="21"/>
              </w:rPr>
              <w:t xml:space="preserve">targets. </w:t>
            </w:r>
          </w:p>
          <w:p w14:paraId="4A13A2DF" w14:textId="640C5229" w:rsidR="007B4DD9" w:rsidRPr="008A6D61" w:rsidRDefault="007B4DD9" w:rsidP="00195AD0">
            <w:pPr>
              <w:spacing w:line="300" w:lineRule="atLeast"/>
              <w:rPr>
                <w:rFonts w:asciiTheme="minorHAnsi" w:hAnsiTheme="minorHAnsi" w:cstheme="minorHAnsi"/>
                <w:i/>
                <w:iCs/>
                <w:color w:val="000000" w:themeColor="text1"/>
                <w:sz w:val="21"/>
                <w:szCs w:val="21"/>
              </w:rPr>
            </w:pPr>
            <w:r w:rsidRPr="008A6D61">
              <w:rPr>
                <w:rFonts w:asciiTheme="minorHAnsi" w:hAnsiTheme="minorHAnsi" w:cstheme="minorHAnsi"/>
                <w:i/>
                <w:iCs/>
                <w:color w:val="000000" w:themeColor="text1"/>
                <w:sz w:val="21"/>
                <w:szCs w:val="21"/>
              </w:rPr>
              <w:t xml:space="preserve">Example: </w:t>
            </w:r>
            <w:r w:rsidR="00492EAB" w:rsidRPr="008A6D61">
              <w:rPr>
                <w:rFonts w:asciiTheme="minorHAnsi" w:hAnsiTheme="minorHAnsi" w:cstheme="minorHAnsi"/>
                <w:i/>
                <w:iCs/>
                <w:color w:val="000000" w:themeColor="text1"/>
                <w:sz w:val="21"/>
                <w:szCs w:val="21"/>
              </w:rPr>
              <w:t>I</w:t>
            </w:r>
            <w:r w:rsidRPr="008A6D61">
              <w:rPr>
                <w:rFonts w:asciiTheme="minorHAnsi" w:hAnsiTheme="minorHAnsi" w:cstheme="minorHAnsi"/>
                <w:i/>
                <w:iCs/>
                <w:color w:val="000000" w:themeColor="text1"/>
                <w:sz w:val="21"/>
                <w:szCs w:val="21"/>
              </w:rPr>
              <w:t xml:space="preserve">f the target for </w:t>
            </w:r>
            <w:r w:rsidR="00492EAB" w:rsidRPr="008A6D61">
              <w:rPr>
                <w:rFonts w:asciiTheme="minorHAnsi" w:hAnsiTheme="minorHAnsi" w:cstheme="minorHAnsi"/>
                <w:i/>
                <w:iCs/>
                <w:color w:val="000000" w:themeColor="text1"/>
                <w:sz w:val="21"/>
                <w:szCs w:val="21"/>
              </w:rPr>
              <w:t>I</w:t>
            </w:r>
            <w:r w:rsidRPr="008A6D61">
              <w:rPr>
                <w:rFonts w:asciiTheme="minorHAnsi" w:hAnsiTheme="minorHAnsi" w:cstheme="minorHAnsi"/>
                <w:i/>
                <w:iCs/>
                <w:color w:val="000000" w:themeColor="text1"/>
                <w:sz w:val="21"/>
                <w:szCs w:val="21"/>
              </w:rPr>
              <w:t xml:space="preserve">ndicator 1 is 70 percent, then </w:t>
            </w:r>
            <w:r w:rsidR="004E5766" w:rsidRPr="008A6D61">
              <w:rPr>
                <w:rFonts w:asciiTheme="minorHAnsi" w:hAnsiTheme="minorHAnsi" w:cstheme="minorHAnsi"/>
                <w:i/>
                <w:iCs/>
                <w:color w:val="000000" w:themeColor="text1"/>
                <w:sz w:val="21"/>
                <w:szCs w:val="21"/>
              </w:rPr>
              <w:t>the state assign</w:t>
            </w:r>
            <w:r w:rsidR="004312DB" w:rsidRPr="008A6D61">
              <w:rPr>
                <w:rFonts w:asciiTheme="minorHAnsi" w:hAnsiTheme="minorHAnsi" w:cstheme="minorHAnsi"/>
                <w:i/>
                <w:iCs/>
                <w:color w:val="000000" w:themeColor="text1"/>
                <w:sz w:val="21"/>
                <w:szCs w:val="21"/>
              </w:rPr>
              <w:t>ed</w:t>
            </w:r>
            <w:r w:rsidR="004E5766" w:rsidRPr="008A6D61">
              <w:rPr>
                <w:rFonts w:asciiTheme="minorHAnsi" w:hAnsiTheme="minorHAnsi" w:cstheme="minorHAnsi"/>
                <w:i/>
                <w:iCs/>
                <w:color w:val="000000" w:themeColor="text1"/>
                <w:sz w:val="21"/>
                <w:szCs w:val="21"/>
              </w:rPr>
              <w:t xml:space="preserve"> </w:t>
            </w:r>
            <w:r w:rsidR="004A2F05" w:rsidRPr="008A6D61">
              <w:rPr>
                <w:rFonts w:asciiTheme="minorHAnsi" w:hAnsiTheme="minorHAnsi" w:cstheme="minorHAnsi"/>
                <w:i/>
                <w:iCs/>
                <w:color w:val="000000" w:themeColor="text1"/>
                <w:sz w:val="21"/>
                <w:szCs w:val="21"/>
              </w:rPr>
              <w:t xml:space="preserve">1 </w:t>
            </w:r>
            <w:r w:rsidRPr="008A6D61">
              <w:rPr>
                <w:rFonts w:asciiTheme="minorHAnsi" w:hAnsiTheme="minorHAnsi" w:cstheme="minorHAnsi"/>
                <w:i/>
                <w:iCs/>
                <w:color w:val="000000" w:themeColor="text1"/>
                <w:sz w:val="21"/>
                <w:szCs w:val="21"/>
              </w:rPr>
              <w:t xml:space="preserve">point if the graduation rate is 70 percent or above and </w:t>
            </w:r>
            <w:r w:rsidR="004A2F05" w:rsidRPr="008A6D61">
              <w:rPr>
                <w:rFonts w:asciiTheme="minorHAnsi" w:hAnsiTheme="minorHAnsi" w:cstheme="minorHAnsi"/>
                <w:i/>
                <w:iCs/>
                <w:color w:val="000000" w:themeColor="text1"/>
                <w:sz w:val="21"/>
                <w:szCs w:val="21"/>
              </w:rPr>
              <w:t>0</w:t>
            </w:r>
            <w:r w:rsidR="004E5766" w:rsidRPr="008A6D61">
              <w:rPr>
                <w:rFonts w:asciiTheme="minorHAnsi" w:hAnsiTheme="minorHAnsi" w:cstheme="minorHAnsi"/>
                <w:i/>
                <w:iCs/>
                <w:color w:val="000000" w:themeColor="text1"/>
                <w:sz w:val="21"/>
                <w:szCs w:val="21"/>
              </w:rPr>
              <w:t xml:space="preserve"> </w:t>
            </w:r>
            <w:r w:rsidRPr="008A6D61">
              <w:rPr>
                <w:rFonts w:asciiTheme="minorHAnsi" w:hAnsiTheme="minorHAnsi" w:cstheme="minorHAnsi"/>
                <w:i/>
                <w:iCs/>
                <w:color w:val="000000" w:themeColor="text1"/>
                <w:sz w:val="21"/>
                <w:szCs w:val="21"/>
              </w:rPr>
              <w:t>points for graduation rates less than 70</w:t>
            </w:r>
            <w:r w:rsidR="00FB54B0" w:rsidRPr="008A6D61">
              <w:rPr>
                <w:rFonts w:asciiTheme="minorHAnsi" w:hAnsiTheme="minorHAnsi" w:cstheme="minorHAnsi"/>
                <w:i/>
                <w:iCs/>
                <w:color w:val="000000" w:themeColor="text1"/>
                <w:sz w:val="21"/>
                <w:szCs w:val="21"/>
              </w:rPr>
              <w:t> </w:t>
            </w:r>
            <w:r w:rsidRPr="008A6D61">
              <w:rPr>
                <w:rFonts w:asciiTheme="minorHAnsi" w:hAnsiTheme="minorHAnsi" w:cstheme="minorHAnsi"/>
                <w:i/>
                <w:iCs/>
                <w:color w:val="000000" w:themeColor="text1"/>
                <w:sz w:val="21"/>
                <w:szCs w:val="21"/>
              </w:rPr>
              <w:t>percent.</w:t>
            </w:r>
          </w:p>
        </w:tc>
        <w:tc>
          <w:tcPr>
            <w:tcW w:w="1813" w:type="dxa"/>
            <w:tcBorders>
              <w:top w:val="single" w:sz="12" w:space="0" w:color="E0E6ED"/>
              <w:left w:val="single" w:sz="12" w:space="0" w:color="E0E6ED"/>
              <w:bottom w:val="single" w:sz="12" w:space="0" w:color="E0E6ED"/>
              <w:right w:val="single" w:sz="12" w:space="0" w:color="E0E6ED"/>
            </w:tcBorders>
          </w:tcPr>
          <w:p w14:paraId="1C6A9439" w14:textId="4A19CEC5" w:rsidR="00932050" w:rsidRPr="008A6D61" w:rsidRDefault="00932050" w:rsidP="00FB54B0">
            <w:pPr>
              <w:spacing w:line="300" w:lineRule="atLeast"/>
              <w:rPr>
                <w:rFonts w:asciiTheme="minorHAnsi" w:hAnsiTheme="minorHAnsi" w:cstheme="minorHAnsi"/>
                <w:color w:val="000000" w:themeColor="text1"/>
                <w:sz w:val="21"/>
                <w:szCs w:val="21"/>
              </w:rPr>
            </w:pPr>
            <w:r w:rsidRPr="008A6D61">
              <w:rPr>
                <w:rFonts w:asciiTheme="minorHAnsi" w:hAnsiTheme="minorHAnsi" w:cstheme="minorHAnsi"/>
                <w:color w:val="000000" w:themeColor="text1"/>
                <w:sz w:val="21"/>
                <w:szCs w:val="21"/>
              </w:rPr>
              <w:t>5</w:t>
            </w:r>
            <w:r w:rsidR="007B4DD9" w:rsidRPr="008A6D61">
              <w:rPr>
                <w:rFonts w:asciiTheme="minorHAnsi" w:hAnsiTheme="minorHAnsi" w:cstheme="minorHAnsi"/>
                <w:color w:val="000000" w:themeColor="text1"/>
                <w:sz w:val="21"/>
                <w:szCs w:val="21"/>
              </w:rPr>
              <w:t xml:space="preserve"> states</w:t>
            </w:r>
            <w:r w:rsidR="007B4DD9" w:rsidRPr="008A6D61">
              <w:rPr>
                <w:rStyle w:val="FootnoteReference"/>
                <w:rFonts w:asciiTheme="minorHAnsi" w:hAnsiTheme="minorHAnsi" w:cstheme="minorHAnsi"/>
                <w:color w:val="000000" w:themeColor="text1"/>
                <w:sz w:val="21"/>
                <w:szCs w:val="21"/>
              </w:rPr>
              <w:footnoteReference w:id="8"/>
            </w:r>
          </w:p>
        </w:tc>
      </w:tr>
      <w:tr w:rsidR="00195AD0" w:rsidRPr="008A6D61" w14:paraId="21761C79" w14:textId="77777777" w:rsidTr="00FB54B0">
        <w:trPr>
          <w:cnfStyle w:val="000000100000" w:firstRow="0" w:lastRow="0" w:firstColumn="0" w:lastColumn="0" w:oddVBand="0" w:evenVBand="0" w:oddHBand="1" w:evenHBand="0" w:firstRowFirstColumn="0" w:firstRowLastColumn="0" w:lastRowFirstColumn="0" w:lastRowLastColumn="0"/>
        </w:trPr>
        <w:tc>
          <w:tcPr>
            <w:tcW w:w="2605" w:type="dxa"/>
            <w:tcBorders>
              <w:top w:val="single" w:sz="12" w:space="0" w:color="E0E6ED"/>
              <w:left w:val="single" w:sz="12" w:space="0" w:color="E0E6ED"/>
              <w:bottom w:val="single" w:sz="12" w:space="0" w:color="E0E6ED"/>
              <w:right w:val="single" w:sz="12" w:space="0" w:color="E0E6ED"/>
            </w:tcBorders>
          </w:tcPr>
          <w:p w14:paraId="3DC72096" w14:textId="7C40FBE4" w:rsidR="00195AD0" w:rsidRPr="008A6D61" w:rsidRDefault="00195AD0" w:rsidP="00FB54B0">
            <w:pPr>
              <w:spacing w:line="300" w:lineRule="atLeast"/>
              <w:rPr>
                <w:rFonts w:asciiTheme="minorHAnsi" w:hAnsiTheme="minorHAnsi" w:cstheme="minorHAnsi"/>
                <w:color w:val="000000" w:themeColor="text1"/>
                <w:sz w:val="21"/>
                <w:szCs w:val="21"/>
              </w:rPr>
            </w:pPr>
            <w:r w:rsidRPr="008A6D61">
              <w:rPr>
                <w:rFonts w:asciiTheme="minorHAnsi" w:hAnsiTheme="minorHAnsi" w:cstheme="minorHAnsi"/>
                <w:color w:val="000000" w:themeColor="text1"/>
                <w:sz w:val="21"/>
                <w:szCs w:val="21"/>
              </w:rPr>
              <w:lastRenderedPageBreak/>
              <w:t>Points earned (cont.)</w:t>
            </w:r>
          </w:p>
        </w:tc>
        <w:tc>
          <w:tcPr>
            <w:tcW w:w="6660" w:type="dxa"/>
            <w:tcBorders>
              <w:top w:val="single" w:sz="12" w:space="0" w:color="E0E6ED"/>
              <w:left w:val="single" w:sz="12" w:space="0" w:color="E0E6ED"/>
              <w:bottom w:val="single" w:sz="12" w:space="0" w:color="E0E6ED"/>
              <w:right w:val="single" w:sz="12" w:space="0" w:color="E0E6ED"/>
            </w:tcBorders>
          </w:tcPr>
          <w:p w14:paraId="40F43C5A" w14:textId="77777777" w:rsidR="00195AD0" w:rsidRPr="008A6D61" w:rsidRDefault="00195AD0" w:rsidP="00195AD0">
            <w:pPr>
              <w:spacing w:line="300" w:lineRule="atLeast"/>
              <w:rPr>
                <w:rFonts w:asciiTheme="minorHAnsi" w:hAnsiTheme="minorHAnsi" w:cstheme="minorHAnsi"/>
                <w:color w:val="000000" w:themeColor="text1"/>
                <w:sz w:val="21"/>
                <w:szCs w:val="21"/>
              </w:rPr>
            </w:pPr>
            <w:r w:rsidRPr="008A6D61">
              <w:rPr>
                <w:rFonts w:asciiTheme="minorHAnsi" w:hAnsiTheme="minorHAnsi" w:cstheme="minorHAnsi"/>
                <w:color w:val="000000" w:themeColor="text1"/>
                <w:sz w:val="21"/>
                <w:szCs w:val="21"/>
              </w:rPr>
              <w:t xml:space="preserve">In states using points earned criteria, the sum of points (or average of points) they assigned dictated determination categories. </w:t>
            </w:r>
          </w:p>
          <w:p w14:paraId="1B39F30F" w14:textId="74BC1D70" w:rsidR="00195AD0" w:rsidRPr="008A6D61" w:rsidRDefault="00195AD0" w:rsidP="00195AD0">
            <w:pPr>
              <w:spacing w:line="300" w:lineRule="atLeast"/>
              <w:rPr>
                <w:rFonts w:asciiTheme="minorHAnsi" w:hAnsiTheme="minorHAnsi" w:cstheme="minorHAnsi"/>
                <w:color w:val="000000" w:themeColor="text1"/>
                <w:sz w:val="21"/>
                <w:szCs w:val="21"/>
              </w:rPr>
            </w:pPr>
            <w:r w:rsidRPr="008A6D61">
              <w:rPr>
                <w:rFonts w:asciiTheme="minorHAnsi" w:hAnsiTheme="minorHAnsi" w:cstheme="minorHAnsi"/>
                <w:i/>
                <w:iCs/>
                <w:color w:val="000000" w:themeColor="text1"/>
                <w:sz w:val="21"/>
                <w:szCs w:val="21"/>
              </w:rPr>
              <w:t xml:space="preserve">Example: 40 points or more qualified an LEA for </w:t>
            </w:r>
            <w:r w:rsidRPr="008A6D61">
              <w:rPr>
                <w:rFonts w:asciiTheme="minorHAnsi" w:hAnsiTheme="minorHAnsi" w:cstheme="minorHAnsi"/>
                <w:iCs/>
                <w:color w:val="000000" w:themeColor="text1"/>
                <w:sz w:val="21"/>
                <w:szCs w:val="21"/>
              </w:rPr>
              <w:t>meets requirements</w:t>
            </w:r>
            <w:r w:rsidRPr="008A6D61">
              <w:rPr>
                <w:rFonts w:asciiTheme="minorHAnsi" w:hAnsiTheme="minorHAnsi" w:cstheme="minorHAnsi"/>
                <w:i/>
                <w:iCs/>
                <w:color w:val="000000" w:themeColor="text1"/>
                <w:sz w:val="21"/>
                <w:szCs w:val="21"/>
              </w:rPr>
              <w:t xml:space="preserve">, 30 through 39 points qualified an LEA for </w:t>
            </w:r>
            <w:r w:rsidRPr="008A6D61">
              <w:rPr>
                <w:rFonts w:asciiTheme="minorHAnsi" w:hAnsiTheme="minorHAnsi" w:cstheme="minorHAnsi"/>
                <w:iCs/>
                <w:color w:val="000000" w:themeColor="text1"/>
                <w:sz w:val="21"/>
                <w:szCs w:val="21"/>
              </w:rPr>
              <w:t>needs assistance</w:t>
            </w:r>
            <w:r w:rsidRPr="008A6D61">
              <w:rPr>
                <w:rFonts w:asciiTheme="minorHAnsi" w:hAnsiTheme="minorHAnsi" w:cstheme="minorHAnsi"/>
                <w:i/>
                <w:iCs/>
                <w:color w:val="000000" w:themeColor="text1"/>
                <w:sz w:val="21"/>
                <w:szCs w:val="21"/>
              </w:rPr>
              <w:t>, and so on.</w:t>
            </w:r>
          </w:p>
        </w:tc>
        <w:tc>
          <w:tcPr>
            <w:tcW w:w="1813" w:type="dxa"/>
            <w:tcBorders>
              <w:top w:val="single" w:sz="12" w:space="0" w:color="E0E6ED"/>
              <w:left w:val="single" w:sz="12" w:space="0" w:color="E0E6ED"/>
              <w:bottom w:val="single" w:sz="12" w:space="0" w:color="E0E6ED"/>
              <w:right w:val="single" w:sz="12" w:space="0" w:color="E0E6ED"/>
            </w:tcBorders>
          </w:tcPr>
          <w:p w14:paraId="192E54C1" w14:textId="77777777" w:rsidR="00195AD0" w:rsidRPr="008A6D61" w:rsidRDefault="00195AD0" w:rsidP="00FB54B0">
            <w:pPr>
              <w:spacing w:line="300" w:lineRule="atLeast"/>
              <w:rPr>
                <w:rFonts w:asciiTheme="minorHAnsi" w:hAnsiTheme="minorHAnsi" w:cstheme="minorHAnsi"/>
                <w:color w:val="000000" w:themeColor="text1"/>
                <w:sz w:val="21"/>
                <w:szCs w:val="21"/>
              </w:rPr>
            </w:pPr>
          </w:p>
        </w:tc>
      </w:tr>
      <w:tr w:rsidR="00932050" w:rsidRPr="008A6D61" w14:paraId="1F83754F" w14:textId="3FC50D6C" w:rsidTr="00FB54B0">
        <w:trPr>
          <w:cnfStyle w:val="000000010000" w:firstRow="0" w:lastRow="0" w:firstColumn="0" w:lastColumn="0" w:oddVBand="0" w:evenVBand="0" w:oddHBand="0" w:evenHBand="1" w:firstRowFirstColumn="0" w:firstRowLastColumn="0" w:lastRowFirstColumn="0" w:lastRowLastColumn="0"/>
        </w:trPr>
        <w:tc>
          <w:tcPr>
            <w:tcW w:w="2605" w:type="dxa"/>
            <w:tcBorders>
              <w:top w:val="single" w:sz="12" w:space="0" w:color="E0E6ED"/>
              <w:left w:val="single" w:sz="12" w:space="0" w:color="E0E6ED"/>
              <w:bottom w:val="single" w:sz="12" w:space="0" w:color="E0E6ED"/>
              <w:right w:val="single" w:sz="12" w:space="0" w:color="E0E6ED"/>
            </w:tcBorders>
            <w:shd w:val="clear" w:color="auto" w:fill="EDF3FA"/>
          </w:tcPr>
          <w:p w14:paraId="61B9049A" w14:textId="41BFA855" w:rsidR="00932050" w:rsidRPr="008A6D61" w:rsidRDefault="007B4DD9" w:rsidP="00FB54B0">
            <w:pPr>
              <w:spacing w:line="300" w:lineRule="atLeast"/>
              <w:rPr>
                <w:rFonts w:asciiTheme="minorHAnsi" w:hAnsiTheme="minorHAnsi" w:cstheme="minorHAnsi"/>
                <w:color w:val="000000" w:themeColor="text1"/>
                <w:sz w:val="21"/>
                <w:szCs w:val="21"/>
              </w:rPr>
            </w:pPr>
            <w:r w:rsidRPr="008A6D61">
              <w:rPr>
                <w:rFonts w:asciiTheme="minorHAnsi" w:hAnsiTheme="minorHAnsi" w:cstheme="minorHAnsi"/>
                <w:color w:val="000000" w:themeColor="text1"/>
                <w:sz w:val="21"/>
                <w:szCs w:val="21"/>
              </w:rPr>
              <w:t>Percent score</w:t>
            </w:r>
          </w:p>
        </w:tc>
        <w:tc>
          <w:tcPr>
            <w:tcW w:w="6660" w:type="dxa"/>
            <w:tcBorders>
              <w:top w:val="single" w:sz="12" w:space="0" w:color="E0E6ED"/>
              <w:left w:val="single" w:sz="12" w:space="0" w:color="E0E6ED"/>
              <w:bottom w:val="single" w:sz="12" w:space="0" w:color="E0E6ED"/>
              <w:right w:val="single" w:sz="12" w:space="0" w:color="E0E6ED"/>
            </w:tcBorders>
            <w:shd w:val="clear" w:color="auto" w:fill="EDF3FA"/>
          </w:tcPr>
          <w:p w14:paraId="161F3B67" w14:textId="77777777" w:rsidR="00FB54B0" w:rsidRPr="008A6D61" w:rsidRDefault="00F6714C" w:rsidP="00FB54B0">
            <w:pPr>
              <w:spacing w:line="300" w:lineRule="atLeast"/>
              <w:rPr>
                <w:rFonts w:asciiTheme="minorHAnsi" w:hAnsiTheme="minorHAnsi" w:cstheme="minorHAnsi"/>
                <w:color w:val="000000" w:themeColor="text1"/>
                <w:sz w:val="21"/>
                <w:szCs w:val="21"/>
              </w:rPr>
            </w:pPr>
            <w:r w:rsidRPr="008A6D61">
              <w:rPr>
                <w:rFonts w:asciiTheme="minorHAnsi" w:hAnsiTheme="minorHAnsi" w:cstheme="minorHAnsi"/>
                <w:color w:val="000000" w:themeColor="text1"/>
                <w:sz w:val="21"/>
                <w:szCs w:val="21"/>
              </w:rPr>
              <w:t xml:space="preserve">The process for calculating the percent scores to assign determination categories </w:t>
            </w:r>
            <w:r w:rsidR="004312DB" w:rsidRPr="008A6D61">
              <w:rPr>
                <w:rFonts w:asciiTheme="minorHAnsi" w:hAnsiTheme="minorHAnsi" w:cstheme="minorHAnsi"/>
                <w:color w:val="000000" w:themeColor="text1"/>
                <w:sz w:val="21"/>
                <w:szCs w:val="21"/>
              </w:rPr>
              <w:t xml:space="preserve">was </w:t>
            </w:r>
            <w:r w:rsidRPr="008A6D61">
              <w:rPr>
                <w:rFonts w:asciiTheme="minorHAnsi" w:hAnsiTheme="minorHAnsi" w:cstheme="minorHAnsi"/>
                <w:color w:val="000000" w:themeColor="text1"/>
                <w:sz w:val="21"/>
                <w:szCs w:val="21"/>
              </w:rPr>
              <w:t xml:space="preserve">similar to </w:t>
            </w:r>
            <w:r w:rsidR="00F8308E" w:rsidRPr="008A6D61">
              <w:rPr>
                <w:rFonts w:asciiTheme="minorHAnsi" w:hAnsiTheme="minorHAnsi" w:cstheme="minorHAnsi"/>
                <w:color w:val="000000" w:themeColor="text1"/>
                <w:sz w:val="21"/>
                <w:szCs w:val="21"/>
              </w:rPr>
              <w:t xml:space="preserve">the process </w:t>
            </w:r>
            <w:r w:rsidR="004E5766" w:rsidRPr="008A6D61">
              <w:rPr>
                <w:rFonts w:asciiTheme="minorHAnsi" w:hAnsiTheme="minorHAnsi" w:cstheme="minorHAnsi"/>
                <w:color w:val="000000" w:themeColor="text1"/>
                <w:sz w:val="21"/>
                <w:szCs w:val="21"/>
              </w:rPr>
              <w:t xml:space="preserve">states </w:t>
            </w:r>
            <w:r w:rsidRPr="008A6D61">
              <w:rPr>
                <w:rFonts w:asciiTheme="minorHAnsi" w:hAnsiTheme="minorHAnsi" w:cstheme="minorHAnsi"/>
                <w:color w:val="000000" w:themeColor="text1"/>
                <w:sz w:val="21"/>
                <w:szCs w:val="21"/>
              </w:rPr>
              <w:t xml:space="preserve">used for the points earned </w:t>
            </w:r>
            <w:r w:rsidR="004E5766" w:rsidRPr="008A6D61">
              <w:rPr>
                <w:rFonts w:asciiTheme="minorHAnsi" w:hAnsiTheme="minorHAnsi" w:cstheme="minorHAnsi"/>
                <w:color w:val="000000" w:themeColor="text1"/>
                <w:sz w:val="21"/>
                <w:szCs w:val="21"/>
              </w:rPr>
              <w:t xml:space="preserve">category </w:t>
            </w:r>
            <w:r w:rsidRPr="008A6D61">
              <w:rPr>
                <w:rFonts w:asciiTheme="minorHAnsi" w:hAnsiTheme="minorHAnsi" w:cstheme="minorHAnsi"/>
                <w:color w:val="000000" w:themeColor="text1"/>
                <w:sz w:val="21"/>
                <w:szCs w:val="21"/>
              </w:rPr>
              <w:t xml:space="preserve">above. </w:t>
            </w:r>
          </w:p>
          <w:p w14:paraId="13CCCCC3" w14:textId="77777777" w:rsidR="00FB54B0" w:rsidRPr="008A6D61" w:rsidRDefault="00F8308E" w:rsidP="00FB54B0">
            <w:pPr>
              <w:spacing w:line="300" w:lineRule="atLeast"/>
              <w:rPr>
                <w:rFonts w:asciiTheme="minorHAnsi" w:hAnsiTheme="minorHAnsi" w:cstheme="minorHAnsi"/>
                <w:color w:val="000000" w:themeColor="text1"/>
                <w:sz w:val="21"/>
                <w:szCs w:val="21"/>
              </w:rPr>
            </w:pPr>
            <w:r w:rsidRPr="008A6D61">
              <w:rPr>
                <w:rFonts w:asciiTheme="minorHAnsi" w:hAnsiTheme="minorHAnsi" w:cstheme="minorHAnsi"/>
                <w:color w:val="000000" w:themeColor="text1"/>
                <w:sz w:val="21"/>
                <w:szCs w:val="21"/>
              </w:rPr>
              <w:t>T</w:t>
            </w:r>
            <w:r w:rsidR="00F6714C" w:rsidRPr="008A6D61">
              <w:rPr>
                <w:rFonts w:asciiTheme="minorHAnsi" w:hAnsiTheme="minorHAnsi" w:cstheme="minorHAnsi"/>
                <w:color w:val="000000" w:themeColor="text1"/>
                <w:sz w:val="21"/>
                <w:szCs w:val="21"/>
              </w:rPr>
              <w:t xml:space="preserve">he majority of the states using </w:t>
            </w:r>
            <w:r w:rsidRPr="008A6D61">
              <w:rPr>
                <w:rFonts w:asciiTheme="minorHAnsi" w:hAnsiTheme="minorHAnsi" w:cstheme="minorHAnsi"/>
                <w:color w:val="000000" w:themeColor="text1"/>
                <w:sz w:val="21"/>
                <w:szCs w:val="21"/>
              </w:rPr>
              <w:t>percent score</w:t>
            </w:r>
            <w:r w:rsidR="00F6714C" w:rsidRPr="008A6D61">
              <w:rPr>
                <w:rFonts w:asciiTheme="minorHAnsi" w:hAnsiTheme="minorHAnsi" w:cstheme="minorHAnsi"/>
                <w:color w:val="000000" w:themeColor="text1"/>
                <w:sz w:val="21"/>
                <w:szCs w:val="21"/>
              </w:rPr>
              <w:t xml:space="preserve"> for issuing determinations</w:t>
            </w:r>
            <w:r w:rsidRPr="008A6D61">
              <w:rPr>
                <w:rFonts w:asciiTheme="minorHAnsi" w:hAnsiTheme="minorHAnsi" w:cstheme="minorHAnsi"/>
                <w:color w:val="000000" w:themeColor="text1"/>
                <w:sz w:val="21"/>
                <w:szCs w:val="21"/>
              </w:rPr>
              <w:t xml:space="preserve"> assign</w:t>
            </w:r>
            <w:r w:rsidR="004312DB" w:rsidRPr="008A6D61">
              <w:rPr>
                <w:rFonts w:asciiTheme="minorHAnsi" w:hAnsiTheme="minorHAnsi" w:cstheme="minorHAnsi"/>
                <w:color w:val="000000" w:themeColor="text1"/>
                <w:sz w:val="21"/>
                <w:szCs w:val="21"/>
              </w:rPr>
              <w:t>ed</w:t>
            </w:r>
            <w:r w:rsidR="00F6714C" w:rsidRPr="008A6D61">
              <w:rPr>
                <w:rFonts w:asciiTheme="minorHAnsi" w:hAnsiTheme="minorHAnsi" w:cstheme="minorHAnsi"/>
                <w:color w:val="000000" w:themeColor="text1"/>
                <w:sz w:val="21"/>
                <w:szCs w:val="21"/>
              </w:rPr>
              <w:t xml:space="preserve"> points to the data elements</w:t>
            </w:r>
            <w:r w:rsidRPr="008A6D61">
              <w:rPr>
                <w:rFonts w:asciiTheme="minorHAnsi" w:hAnsiTheme="minorHAnsi" w:cstheme="minorHAnsi"/>
                <w:color w:val="000000" w:themeColor="text1"/>
                <w:sz w:val="21"/>
                <w:szCs w:val="21"/>
              </w:rPr>
              <w:t xml:space="preserve"> they</w:t>
            </w:r>
            <w:r w:rsidR="00F6714C" w:rsidRPr="008A6D61">
              <w:rPr>
                <w:rFonts w:asciiTheme="minorHAnsi" w:hAnsiTheme="minorHAnsi" w:cstheme="minorHAnsi"/>
                <w:color w:val="000000" w:themeColor="text1"/>
                <w:sz w:val="21"/>
                <w:szCs w:val="21"/>
              </w:rPr>
              <w:t xml:space="preserve"> included in analysis. </w:t>
            </w:r>
          </w:p>
          <w:p w14:paraId="271F81F1" w14:textId="77777777" w:rsidR="00FB54B0" w:rsidRPr="008A6D61" w:rsidRDefault="00F8308E" w:rsidP="00FB54B0">
            <w:pPr>
              <w:spacing w:line="300" w:lineRule="atLeast"/>
              <w:rPr>
                <w:rFonts w:asciiTheme="minorHAnsi" w:hAnsiTheme="minorHAnsi" w:cstheme="minorHAnsi"/>
                <w:color w:val="000000" w:themeColor="text1"/>
                <w:sz w:val="21"/>
                <w:szCs w:val="21"/>
              </w:rPr>
            </w:pPr>
            <w:r w:rsidRPr="008A6D61">
              <w:rPr>
                <w:rFonts w:asciiTheme="minorHAnsi" w:hAnsiTheme="minorHAnsi" w:cstheme="minorHAnsi"/>
                <w:color w:val="000000" w:themeColor="text1"/>
                <w:sz w:val="21"/>
                <w:szCs w:val="21"/>
              </w:rPr>
              <w:t>States divide</w:t>
            </w:r>
            <w:r w:rsidR="004312DB" w:rsidRPr="008A6D61">
              <w:rPr>
                <w:rFonts w:asciiTheme="minorHAnsi" w:hAnsiTheme="minorHAnsi" w:cstheme="minorHAnsi"/>
                <w:color w:val="000000" w:themeColor="text1"/>
                <w:sz w:val="21"/>
                <w:szCs w:val="21"/>
              </w:rPr>
              <w:t>d</w:t>
            </w:r>
            <w:r w:rsidRPr="008A6D61">
              <w:rPr>
                <w:rFonts w:asciiTheme="minorHAnsi" w:hAnsiTheme="minorHAnsi" w:cstheme="minorHAnsi"/>
                <w:color w:val="000000" w:themeColor="text1"/>
                <w:sz w:val="21"/>
                <w:szCs w:val="21"/>
              </w:rPr>
              <w:t xml:space="preserve"> t</w:t>
            </w:r>
            <w:r w:rsidR="00F6714C" w:rsidRPr="008A6D61">
              <w:rPr>
                <w:rFonts w:asciiTheme="minorHAnsi" w:hAnsiTheme="minorHAnsi" w:cstheme="minorHAnsi"/>
                <w:color w:val="000000" w:themeColor="text1"/>
                <w:sz w:val="21"/>
                <w:szCs w:val="21"/>
              </w:rPr>
              <w:t xml:space="preserve">he total points </w:t>
            </w:r>
            <w:r w:rsidRPr="008A6D61">
              <w:rPr>
                <w:rFonts w:asciiTheme="minorHAnsi" w:hAnsiTheme="minorHAnsi" w:cstheme="minorHAnsi"/>
                <w:color w:val="000000" w:themeColor="text1"/>
                <w:sz w:val="21"/>
                <w:szCs w:val="21"/>
              </w:rPr>
              <w:t>an</w:t>
            </w:r>
            <w:r w:rsidR="00F6714C" w:rsidRPr="008A6D61">
              <w:rPr>
                <w:rFonts w:asciiTheme="minorHAnsi" w:hAnsiTheme="minorHAnsi" w:cstheme="minorHAnsi"/>
                <w:color w:val="000000" w:themeColor="text1"/>
                <w:sz w:val="21"/>
                <w:szCs w:val="21"/>
              </w:rPr>
              <w:t xml:space="preserve"> LEA </w:t>
            </w:r>
            <w:r w:rsidRPr="008A6D61">
              <w:rPr>
                <w:rFonts w:asciiTheme="minorHAnsi" w:hAnsiTheme="minorHAnsi" w:cstheme="minorHAnsi"/>
                <w:color w:val="000000" w:themeColor="text1"/>
                <w:sz w:val="21"/>
                <w:szCs w:val="21"/>
              </w:rPr>
              <w:t>generate</w:t>
            </w:r>
            <w:r w:rsidR="004312DB" w:rsidRPr="008A6D61">
              <w:rPr>
                <w:rFonts w:asciiTheme="minorHAnsi" w:hAnsiTheme="minorHAnsi" w:cstheme="minorHAnsi"/>
                <w:color w:val="000000" w:themeColor="text1"/>
                <w:sz w:val="21"/>
                <w:szCs w:val="21"/>
              </w:rPr>
              <w:t>d</w:t>
            </w:r>
            <w:r w:rsidRPr="008A6D61">
              <w:rPr>
                <w:rFonts w:asciiTheme="minorHAnsi" w:hAnsiTheme="minorHAnsi" w:cstheme="minorHAnsi"/>
                <w:color w:val="000000" w:themeColor="text1"/>
                <w:sz w:val="21"/>
                <w:szCs w:val="21"/>
              </w:rPr>
              <w:t xml:space="preserve"> </w:t>
            </w:r>
            <w:r w:rsidR="00F6714C" w:rsidRPr="008A6D61">
              <w:rPr>
                <w:rFonts w:asciiTheme="minorHAnsi" w:hAnsiTheme="minorHAnsi" w:cstheme="minorHAnsi"/>
                <w:color w:val="000000" w:themeColor="text1"/>
                <w:sz w:val="21"/>
                <w:szCs w:val="21"/>
              </w:rPr>
              <w:t xml:space="preserve">across all data </w:t>
            </w:r>
            <w:r w:rsidRPr="008A6D61">
              <w:rPr>
                <w:rFonts w:asciiTheme="minorHAnsi" w:hAnsiTheme="minorHAnsi" w:cstheme="minorHAnsi"/>
                <w:color w:val="000000" w:themeColor="text1"/>
                <w:sz w:val="21"/>
                <w:szCs w:val="21"/>
              </w:rPr>
              <w:t xml:space="preserve">the state </w:t>
            </w:r>
            <w:r w:rsidR="00F6714C" w:rsidRPr="008A6D61">
              <w:rPr>
                <w:rFonts w:asciiTheme="minorHAnsi" w:hAnsiTheme="minorHAnsi" w:cstheme="minorHAnsi"/>
                <w:color w:val="000000" w:themeColor="text1"/>
                <w:sz w:val="21"/>
                <w:szCs w:val="21"/>
              </w:rPr>
              <w:t>used</w:t>
            </w:r>
            <w:r w:rsidR="00AC588D" w:rsidRPr="008A6D61">
              <w:rPr>
                <w:rFonts w:asciiTheme="minorHAnsi" w:hAnsiTheme="minorHAnsi" w:cstheme="minorHAnsi"/>
                <w:color w:val="000000" w:themeColor="text1"/>
                <w:sz w:val="21"/>
                <w:szCs w:val="21"/>
              </w:rPr>
              <w:t xml:space="preserve"> in its determinations</w:t>
            </w:r>
            <w:r w:rsidR="00F6714C" w:rsidRPr="008A6D61">
              <w:rPr>
                <w:rFonts w:asciiTheme="minorHAnsi" w:hAnsiTheme="minorHAnsi" w:cstheme="minorHAnsi"/>
                <w:color w:val="000000" w:themeColor="text1"/>
                <w:sz w:val="21"/>
                <w:szCs w:val="21"/>
              </w:rPr>
              <w:t xml:space="preserve"> by the total possible points </w:t>
            </w:r>
            <w:r w:rsidRPr="008A6D61">
              <w:rPr>
                <w:rFonts w:asciiTheme="minorHAnsi" w:hAnsiTheme="minorHAnsi" w:cstheme="minorHAnsi"/>
                <w:color w:val="000000" w:themeColor="text1"/>
                <w:sz w:val="21"/>
                <w:szCs w:val="21"/>
              </w:rPr>
              <w:t xml:space="preserve">an LEA could have </w:t>
            </w:r>
            <w:r w:rsidR="00F6714C" w:rsidRPr="008A6D61">
              <w:rPr>
                <w:rFonts w:asciiTheme="minorHAnsi" w:hAnsiTheme="minorHAnsi" w:cstheme="minorHAnsi"/>
                <w:color w:val="000000" w:themeColor="text1"/>
                <w:sz w:val="21"/>
                <w:szCs w:val="21"/>
              </w:rPr>
              <w:t xml:space="preserve">generated, and the result </w:t>
            </w:r>
            <w:r w:rsidR="004312DB" w:rsidRPr="008A6D61">
              <w:rPr>
                <w:rFonts w:asciiTheme="minorHAnsi" w:hAnsiTheme="minorHAnsi" w:cstheme="minorHAnsi"/>
                <w:color w:val="000000" w:themeColor="text1"/>
                <w:sz w:val="21"/>
                <w:szCs w:val="21"/>
              </w:rPr>
              <w:t>wa</w:t>
            </w:r>
            <w:r w:rsidR="00F6714C" w:rsidRPr="008A6D61">
              <w:rPr>
                <w:rFonts w:asciiTheme="minorHAnsi" w:hAnsiTheme="minorHAnsi" w:cstheme="minorHAnsi"/>
                <w:color w:val="000000" w:themeColor="text1"/>
                <w:sz w:val="21"/>
                <w:szCs w:val="21"/>
              </w:rPr>
              <w:t xml:space="preserve">s the percent of the total possible points for the LEA, or the percent score for the LEA. </w:t>
            </w:r>
          </w:p>
          <w:p w14:paraId="7B014BB2" w14:textId="32D8180D" w:rsidR="00F6714C" w:rsidRPr="008A6D61" w:rsidRDefault="00F6714C" w:rsidP="00FB54B0">
            <w:pPr>
              <w:spacing w:line="300" w:lineRule="atLeast"/>
              <w:rPr>
                <w:rFonts w:asciiTheme="minorHAnsi" w:hAnsiTheme="minorHAnsi" w:cstheme="minorHAnsi"/>
                <w:color w:val="000000" w:themeColor="text1"/>
                <w:sz w:val="21"/>
                <w:szCs w:val="21"/>
              </w:rPr>
            </w:pPr>
            <w:r w:rsidRPr="008A6D61">
              <w:rPr>
                <w:rFonts w:asciiTheme="minorHAnsi" w:hAnsiTheme="minorHAnsi" w:cstheme="minorHAnsi"/>
                <w:color w:val="000000" w:themeColor="text1"/>
                <w:sz w:val="21"/>
                <w:szCs w:val="21"/>
              </w:rPr>
              <w:t>Most states using this method create</w:t>
            </w:r>
            <w:r w:rsidR="004312DB" w:rsidRPr="008A6D61">
              <w:rPr>
                <w:rFonts w:asciiTheme="minorHAnsi" w:hAnsiTheme="minorHAnsi" w:cstheme="minorHAnsi"/>
                <w:color w:val="000000" w:themeColor="text1"/>
                <w:sz w:val="21"/>
                <w:szCs w:val="21"/>
              </w:rPr>
              <w:t>d</w:t>
            </w:r>
            <w:r w:rsidRPr="008A6D61">
              <w:rPr>
                <w:rFonts w:asciiTheme="minorHAnsi" w:hAnsiTheme="minorHAnsi" w:cstheme="minorHAnsi"/>
                <w:color w:val="000000" w:themeColor="text1"/>
                <w:sz w:val="21"/>
                <w:szCs w:val="21"/>
              </w:rPr>
              <w:t xml:space="preserve"> percent ranges to place LEAs in determination categories. </w:t>
            </w:r>
          </w:p>
          <w:p w14:paraId="11F28275" w14:textId="6D63BD60" w:rsidR="00932050" w:rsidRPr="008A6D61" w:rsidRDefault="00F6714C" w:rsidP="00FB54B0">
            <w:pPr>
              <w:spacing w:line="300" w:lineRule="atLeast"/>
              <w:rPr>
                <w:rFonts w:asciiTheme="minorHAnsi" w:hAnsiTheme="minorHAnsi" w:cstheme="minorHAnsi"/>
                <w:i/>
                <w:iCs/>
                <w:color w:val="000000" w:themeColor="text1"/>
                <w:sz w:val="21"/>
                <w:szCs w:val="21"/>
              </w:rPr>
            </w:pPr>
            <w:r w:rsidRPr="008A6D61">
              <w:rPr>
                <w:rFonts w:asciiTheme="minorHAnsi" w:hAnsiTheme="minorHAnsi" w:cstheme="minorHAnsi"/>
                <w:i/>
                <w:iCs/>
                <w:color w:val="000000" w:themeColor="text1"/>
                <w:sz w:val="21"/>
                <w:szCs w:val="21"/>
              </w:rPr>
              <w:t xml:space="preserve">Example: </w:t>
            </w:r>
            <w:r w:rsidR="007D4FBA" w:rsidRPr="008A6D61">
              <w:rPr>
                <w:rFonts w:asciiTheme="minorHAnsi" w:hAnsiTheme="minorHAnsi" w:cstheme="minorHAnsi"/>
                <w:i/>
                <w:iCs/>
                <w:color w:val="000000" w:themeColor="text1"/>
                <w:sz w:val="21"/>
                <w:szCs w:val="21"/>
              </w:rPr>
              <w:t>A</w:t>
            </w:r>
            <w:r w:rsidRPr="008A6D61">
              <w:rPr>
                <w:rFonts w:asciiTheme="minorHAnsi" w:hAnsiTheme="minorHAnsi" w:cstheme="minorHAnsi"/>
                <w:i/>
                <w:iCs/>
                <w:color w:val="000000" w:themeColor="text1"/>
                <w:sz w:val="21"/>
                <w:szCs w:val="21"/>
              </w:rPr>
              <w:t xml:space="preserve"> percent score of 80 percent or more yield</w:t>
            </w:r>
            <w:r w:rsidR="004312DB" w:rsidRPr="008A6D61">
              <w:rPr>
                <w:rFonts w:asciiTheme="minorHAnsi" w:hAnsiTheme="minorHAnsi" w:cstheme="minorHAnsi"/>
                <w:i/>
                <w:iCs/>
                <w:color w:val="000000" w:themeColor="text1"/>
                <w:sz w:val="21"/>
                <w:szCs w:val="21"/>
              </w:rPr>
              <w:t>ed</w:t>
            </w:r>
            <w:r w:rsidRPr="008A6D61">
              <w:rPr>
                <w:rFonts w:asciiTheme="minorHAnsi" w:hAnsiTheme="minorHAnsi" w:cstheme="minorHAnsi"/>
                <w:i/>
                <w:iCs/>
                <w:color w:val="000000" w:themeColor="text1"/>
                <w:sz w:val="21"/>
                <w:szCs w:val="21"/>
              </w:rPr>
              <w:t xml:space="preserve"> the determination of </w:t>
            </w:r>
            <w:r w:rsidRPr="008A6D61">
              <w:rPr>
                <w:rFonts w:asciiTheme="minorHAnsi" w:hAnsiTheme="minorHAnsi" w:cstheme="minorHAnsi"/>
                <w:iCs/>
                <w:color w:val="000000" w:themeColor="text1"/>
                <w:sz w:val="21"/>
                <w:szCs w:val="21"/>
              </w:rPr>
              <w:t>meets requirements</w:t>
            </w:r>
            <w:r w:rsidRPr="008A6D61">
              <w:rPr>
                <w:rFonts w:asciiTheme="minorHAnsi" w:hAnsiTheme="minorHAnsi" w:cstheme="minorHAnsi"/>
                <w:i/>
                <w:iCs/>
                <w:color w:val="000000" w:themeColor="text1"/>
                <w:sz w:val="21"/>
                <w:szCs w:val="21"/>
              </w:rPr>
              <w:t>, a percent score of 60 percent to less than 80 percent or more yield</w:t>
            </w:r>
            <w:r w:rsidR="004312DB" w:rsidRPr="008A6D61">
              <w:rPr>
                <w:rFonts w:asciiTheme="minorHAnsi" w:hAnsiTheme="minorHAnsi" w:cstheme="minorHAnsi"/>
                <w:i/>
                <w:iCs/>
                <w:color w:val="000000" w:themeColor="text1"/>
                <w:sz w:val="21"/>
                <w:szCs w:val="21"/>
              </w:rPr>
              <w:t>ed</w:t>
            </w:r>
            <w:r w:rsidRPr="008A6D61">
              <w:rPr>
                <w:rFonts w:asciiTheme="minorHAnsi" w:hAnsiTheme="minorHAnsi" w:cstheme="minorHAnsi"/>
                <w:i/>
                <w:iCs/>
                <w:color w:val="000000" w:themeColor="text1"/>
                <w:sz w:val="21"/>
                <w:szCs w:val="21"/>
              </w:rPr>
              <w:t xml:space="preserve"> the determination of </w:t>
            </w:r>
            <w:r w:rsidRPr="008A6D61">
              <w:rPr>
                <w:rFonts w:asciiTheme="minorHAnsi" w:hAnsiTheme="minorHAnsi" w:cstheme="minorHAnsi"/>
                <w:iCs/>
                <w:color w:val="000000" w:themeColor="text1"/>
                <w:sz w:val="21"/>
                <w:szCs w:val="21"/>
              </w:rPr>
              <w:t>needs assistance</w:t>
            </w:r>
            <w:r w:rsidRPr="008A6D61">
              <w:rPr>
                <w:rFonts w:asciiTheme="minorHAnsi" w:hAnsiTheme="minorHAnsi" w:cstheme="minorHAnsi"/>
                <w:i/>
                <w:iCs/>
                <w:color w:val="000000" w:themeColor="text1"/>
                <w:sz w:val="21"/>
                <w:szCs w:val="21"/>
              </w:rPr>
              <w:t>, and so on.</w:t>
            </w:r>
          </w:p>
        </w:tc>
        <w:tc>
          <w:tcPr>
            <w:tcW w:w="1813" w:type="dxa"/>
            <w:tcBorders>
              <w:top w:val="single" w:sz="12" w:space="0" w:color="E0E6ED"/>
              <w:left w:val="single" w:sz="12" w:space="0" w:color="E0E6ED"/>
              <w:bottom w:val="single" w:sz="12" w:space="0" w:color="E0E6ED"/>
              <w:right w:val="single" w:sz="12" w:space="0" w:color="E0E6ED"/>
            </w:tcBorders>
            <w:shd w:val="clear" w:color="auto" w:fill="EDF3FA"/>
          </w:tcPr>
          <w:p w14:paraId="05A0C35A" w14:textId="7FD2B385" w:rsidR="00932050" w:rsidRPr="008A6D61" w:rsidRDefault="007B4DD9" w:rsidP="00FB54B0">
            <w:pPr>
              <w:spacing w:line="300" w:lineRule="atLeast"/>
              <w:rPr>
                <w:rFonts w:asciiTheme="minorHAnsi" w:hAnsiTheme="minorHAnsi" w:cstheme="minorHAnsi"/>
                <w:color w:val="000000" w:themeColor="text1"/>
                <w:sz w:val="21"/>
                <w:szCs w:val="21"/>
              </w:rPr>
            </w:pPr>
            <w:r w:rsidRPr="008A6D61">
              <w:rPr>
                <w:rFonts w:asciiTheme="minorHAnsi" w:hAnsiTheme="minorHAnsi" w:cstheme="minorHAnsi"/>
                <w:color w:val="000000" w:themeColor="text1"/>
                <w:sz w:val="21"/>
                <w:szCs w:val="21"/>
              </w:rPr>
              <w:t>9 states</w:t>
            </w:r>
            <w:r w:rsidRPr="008A6D61">
              <w:rPr>
                <w:rStyle w:val="FootnoteReference"/>
                <w:rFonts w:asciiTheme="minorHAnsi" w:hAnsiTheme="minorHAnsi" w:cstheme="minorHAnsi"/>
                <w:color w:val="000000" w:themeColor="text1"/>
                <w:sz w:val="21"/>
                <w:szCs w:val="21"/>
              </w:rPr>
              <w:footnoteReference w:id="9"/>
            </w:r>
          </w:p>
        </w:tc>
      </w:tr>
      <w:tr w:rsidR="00932050" w:rsidRPr="008A6D61" w14:paraId="0C1CCFAE" w14:textId="03730261" w:rsidTr="00FB54B0">
        <w:trPr>
          <w:cnfStyle w:val="000000100000" w:firstRow="0" w:lastRow="0" w:firstColumn="0" w:lastColumn="0" w:oddVBand="0" w:evenVBand="0" w:oddHBand="1" w:evenHBand="0" w:firstRowFirstColumn="0" w:firstRowLastColumn="0" w:lastRowFirstColumn="0" w:lastRowLastColumn="0"/>
        </w:trPr>
        <w:tc>
          <w:tcPr>
            <w:tcW w:w="2605" w:type="dxa"/>
            <w:tcBorders>
              <w:top w:val="single" w:sz="12" w:space="0" w:color="E0E6ED"/>
              <w:left w:val="single" w:sz="12" w:space="0" w:color="E0E6ED"/>
              <w:bottom w:val="single" w:sz="12" w:space="0" w:color="E0E6ED"/>
              <w:right w:val="single" w:sz="12" w:space="0" w:color="E0E6ED"/>
            </w:tcBorders>
          </w:tcPr>
          <w:p w14:paraId="11381106" w14:textId="254D625E" w:rsidR="00932050" w:rsidRPr="008A6D61" w:rsidRDefault="00F6714C" w:rsidP="00195AD0">
            <w:pPr>
              <w:pageBreakBefore/>
              <w:spacing w:line="300" w:lineRule="atLeast"/>
              <w:rPr>
                <w:rFonts w:asciiTheme="minorHAnsi" w:hAnsiTheme="minorHAnsi" w:cstheme="minorHAnsi"/>
                <w:color w:val="000000" w:themeColor="text1"/>
                <w:sz w:val="21"/>
                <w:szCs w:val="21"/>
              </w:rPr>
            </w:pPr>
            <w:r w:rsidRPr="008A6D61">
              <w:rPr>
                <w:rFonts w:asciiTheme="minorHAnsi" w:hAnsiTheme="minorHAnsi" w:cstheme="minorHAnsi"/>
                <w:color w:val="000000" w:themeColor="text1"/>
                <w:sz w:val="21"/>
                <w:szCs w:val="21"/>
              </w:rPr>
              <w:lastRenderedPageBreak/>
              <w:t>Multi-pronged</w:t>
            </w:r>
          </w:p>
        </w:tc>
        <w:tc>
          <w:tcPr>
            <w:tcW w:w="6660" w:type="dxa"/>
            <w:tcBorders>
              <w:top w:val="single" w:sz="12" w:space="0" w:color="E0E6ED"/>
              <w:left w:val="single" w:sz="12" w:space="0" w:color="E0E6ED"/>
              <w:bottom w:val="single" w:sz="12" w:space="0" w:color="E0E6ED"/>
              <w:right w:val="single" w:sz="12" w:space="0" w:color="E0E6ED"/>
            </w:tcBorders>
          </w:tcPr>
          <w:p w14:paraId="3E1057CA" w14:textId="6B71E015" w:rsidR="00F6714C" w:rsidRPr="008A6D61" w:rsidRDefault="00F6714C" w:rsidP="00FB54B0">
            <w:pPr>
              <w:spacing w:line="300" w:lineRule="atLeast"/>
              <w:rPr>
                <w:rFonts w:asciiTheme="minorHAnsi" w:hAnsiTheme="minorHAnsi" w:cstheme="minorHAnsi"/>
                <w:color w:val="000000" w:themeColor="text1"/>
                <w:sz w:val="21"/>
                <w:szCs w:val="21"/>
              </w:rPr>
            </w:pPr>
            <w:r w:rsidRPr="008A6D61">
              <w:rPr>
                <w:rFonts w:asciiTheme="minorHAnsi" w:hAnsiTheme="minorHAnsi" w:cstheme="minorHAnsi"/>
                <w:color w:val="000000" w:themeColor="text1"/>
                <w:sz w:val="21"/>
                <w:szCs w:val="21"/>
              </w:rPr>
              <w:t xml:space="preserve">States using this method </w:t>
            </w:r>
            <w:r w:rsidR="004312DB" w:rsidRPr="008A6D61">
              <w:rPr>
                <w:rFonts w:asciiTheme="minorHAnsi" w:hAnsiTheme="minorHAnsi" w:cstheme="minorHAnsi"/>
                <w:color w:val="000000" w:themeColor="text1"/>
                <w:sz w:val="21"/>
                <w:szCs w:val="21"/>
              </w:rPr>
              <w:t xml:space="preserve">had </w:t>
            </w:r>
            <w:r w:rsidRPr="008A6D61">
              <w:rPr>
                <w:rFonts w:asciiTheme="minorHAnsi" w:hAnsiTheme="minorHAnsi" w:cstheme="minorHAnsi"/>
                <w:color w:val="000000" w:themeColor="text1"/>
                <w:sz w:val="21"/>
                <w:szCs w:val="21"/>
              </w:rPr>
              <w:t>multiple criteria that</w:t>
            </w:r>
            <w:r w:rsidR="00F8308E" w:rsidRPr="008A6D61">
              <w:rPr>
                <w:rFonts w:asciiTheme="minorHAnsi" w:hAnsiTheme="minorHAnsi" w:cstheme="minorHAnsi"/>
                <w:color w:val="000000" w:themeColor="text1"/>
                <w:sz w:val="21"/>
                <w:szCs w:val="21"/>
              </w:rPr>
              <w:t xml:space="preserve"> an LEA</w:t>
            </w:r>
            <w:r w:rsidRPr="008A6D61">
              <w:rPr>
                <w:rFonts w:asciiTheme="minorHAnsi" w:hAnsiTheme="minorHAnsi" w:cstheme="minorHAnsi"/>
                <w:color w:val="000000" w:themeColor="text1"/>
                <w:sz w:val="21"/>
                <w:szCs w:val="21"/>
              </w:rPr>
              <w:t xml:space="preserve"> </w:t>
            </w:r>
            <w:r w:rsidR="00036202" w:rsidRPr="008A6D61">
              <w:rPr>
                <w:rFonts w:asciiTheme="minorHAnsi" w:hAnsiTheme="minorHAnsi" w:cstheme="minorHAnsi"/>
                <w:color w:val="000000" w:themeColor="text1"/>
                <w:sz w:val="21"/>
                <w:szCs w:val="21"/>
              </w:rPr>
              <w:t>had to</w:t>
            </w:r>
            <w:r w:rsidRPr="008A6D61">
              <w:rPr>
                <w:rFonts w:asciiTheme="minorHAnsi" w:hAnsiTheme="minorHAnsi" w:cstheme="minorHAnsi"/>
                <w:color w:val="000000" w:themeColor="text1"/>
                <w:sz w:val="21"/>
                <w:szCs w:val="21"/>
              </w:rPr>
              <w:t xml:space="preserve"> me</w:t>
            </w:r>
            <w:r w:rsidR="00F8308E" w:rsidRPr="008A6D61">
              <w:rPr>
                <w:rFonts w:asciiTheme="minorHAnsi" w:hAnsiTheme="minorHAnsi" w:cstheme="minorHAnsi"/>
                <w:color w:val="000000" w:themeColor="text1"/>
                <w:sz w:val="21"/>
                <w:szCs w:val="21"/>
              </w:rPr>
              <w:t>e</w:t>
            </w:r>
            <w:r w:rsidRPr="008A6D61">
              <w:rPr>
                <w:rFonts w:asciiTheme="minorHAnsi" w:hAnsiTheme="minorHAnsi" w:cstheme="minorHAnsi"/>
                <w:color w:val="000000" w:themeColor="text1"/>
                <w:sz w:val="21"/>
                <w:szCs w:val="21"/>
              </w:rPr>
              <w:t xml:space="preserve">t for </w:t>
            </w:r>
            <w:r w:rsidR="00F8308E" w:rsidRPr="008A6D61">
              <w:rPr>
                <w:rFonts w:asciiTheme="minorHAnsi" w:hAnsiTheme="minorHAnsi" w:cstheme="minorHAnsi"/>
                <w:color w:val="000000" w:themeColor="text1"/>
                <w:sz w:val="21"/>
                <w:szCs w:val="21"/>
              </w:rPr>
              <w:t xml:space="preserve">the state to assign </w:t>
            </w:r>
            <w:r w:rsidRPr="008A6D61">
              <w:rPr>
                <w:rFonts w:asciiTheme="minorHAnsi" w:hAnsiTheme="minorHAnsi" w:cstheme="minorHAnsi"/>
                <w:color w:val="000000" w:themeColor="text1"/>
                <w:sz w:val="21"/>
                <w:szCs w:val="21"/>
              </w:rPr>
              <w:t xml:space="preserve">an LEA to a particular determination category. </w:t>
            </w:r>
          </w:p>
          <w:p w14:paraId="764177C3" w14:textId="4BF6F5CA" w:rsidR="00FB54B0" w:rsidRPr="008A6D61" w:rsidRDefault="00F6714C" w:rsidP="00FB54B0">
            <w:pPr>
              <w:spacing w:line="300" w:lineRule="atLeast"/>
              <w:rPr>
                <w:rFonts w:asciiTheme="minorHAnsi" w:hAnsiTheme="minorHAnsi" w:cstheme="minorHAnsi"/>
                <w:i/>
                <w:iCs/>
                <w:color w:val="000000" w:themeColor="text1"/>
                <w:sz w:val="21"/>
                <w:szCs w:val="21"/>
              </w:rPr>
            </w:pPr>
            <w:r w:rsidRPr="008A6D61">
              <w:rPr>
                <w:rFonts w:asciiTheme="minorHAnsi" w:hAnsiTheme="minorHAnsi" w:cstheme="minorHAnsi"/>
                <w:i/>
                <w:iCs/>
                <w:color w:val="000000" w:themeColor="text1"/>
                <w:sz w:val="21"/>
                <w:szCs w:val="21"/>
              </w:rPr>
              <w:t xml:space="preserve">Example: </w:t>
            </w:r>
            <w:r w:rsidR="007D4FBA" w:rsidRPr="008A6D61">
              <w:rPr>
                <w:rFonts w:asciiTheme="minorHAnsi" w:hAnsiTheme="minorHAnsi" w:cstheme="minorHAnsi"/>
                <w:i/>
                <w:iCs/>
                <w:color w:val="000000" w:themeColor="text1"/>
                <w:sz w:val="21"/>
                <w:szCs w:val="21"/>
              </w:rPr>
              <w:t>T</w:t>
            </w:r>
            <w:r w:rsidRPr="008A6D61">
              <w:rPr>
                <w:rFonts w:asciiTheme="minorHAnsi" w:hAnsiTheme="minorHAnsi" w:cstheme="minorHAnsi"/>
                <w:i/>
                <w:iCs/>
                <w:color w:val="000000" w:themeColor="text1"/>
                <w:sz w:val="21"/>
                <w:szCs w:val="21"/>
              </w:rPr>
              <w:t xml:space="preserve">o be determined </w:t>
            </w:r>
            <w:r w:rsidR="00AB3A74" w:rsidRPr="008A6D61">
              <w:rPr>
                <w:rFonts w:asciiTheme="minorHAnsi" w:hAnsiTheme="minorHAnsi" w:cstheme="minorHAnsi"/>
                <w:i/>
                <w:iCs/>
                <w:color w:val="000000" w:themeColor="text1"/>
                <w:sz w:val="21"/>
                <w:szCs w:val="21"/>
              </w:rPr>
              <w:t>as</w:t>
            </w:r>
            <w:r w:rsidR="00AB3A74" w:rsidRPr="008A6D61">
              <w:rPr>
                <w:rFonts w:asciiTheme="minorHAnsi" w:hAnsiTheme="minorHAnsi" w:cstheme="minorHAnsi"/>
                <w:iCs/>
                <w:color w:val="000000" w:themeColor="text1"/>
                <w:sz w:val="21"/>
                <w:szCs w:val="21"/>
              </w:rPr>
              <w:t xml:space="preserve"> </w:t>
            </w:r>
            <w:r w:rsidRPr="008A6D61">
              <w:rPr>
                <w:rFonts w:asciiTheme="minorHAnsi" w:hAnsiTheme="minorHAnsi" w:cstheme="minorHAnsi"/>
                <w:iCs/>
                <w:color w:val="000000" w:themeColor="text1"/>
                <w:sz w:val="21"/>
                <w:szCs w:val="21"/>
              </w:rPr>
              <w:t>meets requirements</w:t>
            </w:r>
            <w:r w:rsidRPr="008A6D61">
              <w:rPr>
                <w:rFonts w:asciiTheme="minorHAnsi" w:hAnsiTheme="minorHAnsi" w:cstheme="minorHAnsi"/>
                <w:i/>
                <w:iCs/>
                <w:color w:val="000000" w:themeColor="text1"/>
                <w:sz w:val="21"/>
                <w:szCs w:val="21"/>
              </w:rPr>
              <w:t xml:space="preserve">, an LEA must </w:t>
            </w:r>
            <w:r w:rsidR="004312DB" w:rsidRPr="008A6D61">
              <w:rPr>
                <w:rFonts w:asciiTheme="minorHAnsi" w:hAnsiTheme="minorHAnsi" w:cstheme="minorHAnsi"/>
                <w:i/>
                <w:iCs/>
                <w:color w:val="000000" w:themeColor="text1"/>
                <w:sz w:val="21"/>
                <w:szCs w:val="21"/>
              </w:rPr>
              <w:t>have</w:t>
            </w:r>
            <w:r w:rsidR="00036202" w:rsidRPr="008A6D61">
              <w:rPr>
                <w:rFonts w:asciiTheme="minorHAnsi" w:hAnsiTheme="minorHAnsi" w:cstheme="minorHAnsi"/>
                <w:i/>
                <w:iCs/>
                <w:color w:val="000000" w:themeColor="text1"/>
                <w:sz w:val="21"/>
                <w:szCs w:val="21"/>
              </w:rPr>
              <w:t xml:space="preserve"> </w:t>
            </w:r>
            <w:r w:rsidRPr="008A6D61">
              <w:rPr>
                <w:rFonts w:asciiTheme="minorHAnsi" w:hAnsiTheme="minorHAnsi" w:cstheme="minorHAnsi"/>
                <w:i/>
                <w:iCs/>
                <w:color w:val="000000" w:themeColor="text1"/>
                <w:sz w:val="21"/>
                <w:szCs w:val="21"/>
              </w:rPr>
              <w:t xml:space="preserve">met all data element targets and have no outstanding noncompliance. </w:t>
            </w:r>
          </w:p>
          <w:p w14:paraId="2EF1C4EF" w14:textId="7EC8BE82" w:rsidR="00932050" w:rsidRPr="008A6D61" w:rsidRDefault="00F6714C" w:rsidP="00FB54B0">
            <w:pPr>
              <w:spacing w:line="300" w:lineRule="atLeast"/>
              <w:rPr>
                <w:rFonts w:asciiTheme="minorHAnsi" w:hAnsiTheme="minorHAnsi" w:cstheme="minorHAnsi"/>
                <w:color w:val="000000" w:themeColor="text1"/>
                <w:sz w:val="21"/>
                <w:szCs w:val="21"/>
              </w:rPr>
            </w:pPr>
            <w:r w:rsidRPr="008A6D61">
              <w:rPr>
                <w:rFonts w:asciiTheme="minorHAnsi" w:hAnsiTheme="minorHAnsi" w:cstheme="minorHAnsi"/>
                <w:color w:val="000000" w:themeColor="text1"/>
                <w:sz w:val="21"/>
                <w:szCs w:val="21"/>
              </w:rPr>
              <w:t xml:space="preserve">This category </w:t>
            </w:r>
            <w:r w:rsidR="004312DB" w:rsidRPr="008A6D61">
              <w:rPr>
                <w:rFonts w:asciiTheme="minorHAnsi" w:hAnsiTheme="minorHAnsi" w:cstheme="minorHAnsi"/>
                <w:color w:val="000000" w:themeColor="text1"/>
                <w:sz w:val="21"/>
                <w:szCs w:val="21"/>
              </w:rPr>
              <w:t>wa</w:t>
            </w:r>
            <w:r w:rsidRPr="008A6D61">
              <w:rPr>
                <w:rFonts w:asciiTheme="minorHAnsi" w:hAnsiTheme="minorHAnsi" w:cstheme="minorHAnsi"/>
                <w:color w:val="000000" w:themeColor="text1"/>
                <w:sz w:val="21"/>
                <w:szCs w:val="21"/>
              </w:rPr>
              <w:t>s more difficult to define, as it largely varie</w:t>
            </w:r>
            <w:r w:rsidR="004312DB" w:rsidRPr="008A6D61">
              <w:rPr>
                <w:rFonts w:asciiTheme="minorHAnsi" w:hAnsiTheme="minorHAnsi" w:cstheme="minorHAnsi"/>
                <w:color w:val="000000" w:themeColor="text1"/>
                <w:sz w:val="21"/>
                <w:szCs w:val="21"/>
              </w:rPr>
              <w:t>d</w:t>
            </w:r>
            <w:r w:rsidRPr="008A6D61">
              <w:rPr>
                <w:rFonts w:asciiTheme="minorHAnsi" w:hAnsiTheme="minorHAnsi" w:cstheme="minorHAnsi"/>
                <w:color w:val="000000" w:themeColor="text1"/>
                <w:sz w:val="21"/>
                <w:szCs w:val="21"/>
              </w:rPr>
              <w:t xml:space="preserve"> by state.</w:t>
            </w:r>
          </w:p>
        </w:tc>
        <w:tc>
          <w:tcPr>
            <w:tcW w:w="1813" w:type="dxa"/>
            <w:tcBorders>
              <w:top w:val="single" w:sz="12" w:space="0" w:color="E0E6ED"/>
              <w:left w:val="single" w:sz="12" w:space="0" w:color="E0E6ED"/>
              <w:bottom w:val="single" w:sz="12" w:space="0" w:color="E0E6ED"/>
              <w:right w:val="single" w:sz="12" w:space="0" w:color="E0E6ED"/>
            </w:tcBorders>
          </w:tcPr>
          <w:p w14:paraId="6E2EFCEE" w14:textId="0C95363E" w:rsidR="00932050" w:rsidRPr="008A6D61" w:rsidRDefault="00F6714C" w:rsidP="00FB54B0">
            <w:pPr>
              <w:spacing w:line="300" w:lineRule="atLeast"/>
              <w:rPr>
                <w:rFonts w:asciiTheme="minorHAnsi" w:hAnsiTheme="minorHAnsi" w:cstheme="minorHAnsi"/>
                <w:color w:val="000000" w:themeColor="text1"/>
                <w:sz w:val="21"/>
                <w:szCs w:val="21"/>
              </w:rPr>
            </w:pPr>
            <w:r w:rsidRPr="008A6D61">
              <w:rPr>
                <w:rFonts w:asciiTheme="minorHAnsi" w:hAnsiTheme="minorHAnsi" w:cstheme="minorHAnsi"/>
                <w:color w:val="000000" w:themeColor="text1"/>
                <w:sz w:val="21"/>
                <w:szCs w:val="21"/>
              </w:rPr>
              <w:t>7 states</w:t>
            </w:r>
            <w:r w:rsidRPr="008A6D61">
              <w:rPr>
                <w:rStyle w:val="FootnoteReference"/>
                <w:rFonts w:asciiTheme="minorHAnsi" w:hAnsiTheme="minorHAnsi" w:cstheme="minorHAnsi"/>
                <w:color w:val="000000" w:themeColor="text1"/>
                <w:sz w:val="21"/>
                <w:szCs w:val="21"/>
              </w:rPr>
              <w:footnoteReference w:id="10"/>
            </w:r>
          </w:p>
        </w:tc>
      </w:tr>
      <w:tr w:rsidR="00F6714C" w:rsidRPr="008A6D61" w14:paraId="395DCB8A" w14:textId="77777777" w:rsidTr="00FB54B0">
        <w:trPr>
          <w:cnfStyle w:val="000000010000" w:firstRow="0" w:lastRow="0" w:firstColumn="0" w:lastColumn="0" w:oddVBand="0" w:evenVBand="0" w:oddHBand="0" w:evenHBand="1" w:firstRowFirstColumn="0" w:firstRowLastColumn="0" w:lastRowFirstColumn="0" w:lastRowLastColumn="0"/>
        </w:trPr>
        <w:tc>
          <w:tcPr>
            <w:tcW w:w="2605" w:type="dxa"/>
            <w:tcBorders>
              <w:top w:val="single" w:sz="12" w:space="0" w:color="E0E6ED"/>
              <w:left w:val="single" w:sz="12" w:space="0" w:color="E0E6ED"/>
              <w:bottom w:val="single" w:sz="12" w:space="0" w:color="E0E6ED"/>
              <w:right w:val="single" w:sz="12" w:space="0" w:color="E0E6ED"/>
            </w:tcBorders>
            <w:shd w:val="clear" w:color="auto" w:fill="EDF3FA"/>
            <w:vAlign w:val="bottom"/>
          </w:tcPr>
          <w:p w14:paraId="0BDEE67E" w14:textId="11E6DC53" w:rsidR="00F6714C" w:rsidRPr="008A6D61" w:rsidRDefault="00F6714C" w:rsidP="00FB54B0">
            <w:pPr>
              <w:spacing w:line="300" w:lineRule="atLeast"/>
              <w:rPr>
                <w:rFonts w:asciiTheme="minorHAnsi" w:hAnsiTheme="minorHAnsi" w:cstheme="minorHAnsi"/>
                <w:color w:val="000000" w:themeColor="text1"/>
                <w:sz w:val="21"/>
                <w:szCs w:val="21"/>
              </w:rPr>
            </w:pPr>
            <w:r w:rsidRPr="008A6D61">
              <w:rPr>
                <w:rFonts w:asciiTheme="minorHAnsi" w:hAnsiTheme="minorHAnsi" w:cstheme="minorHAnsi"/>
                <w:color w:val="000000" w:themeColor="text1"/>
                <w:sz w:val="21"/>
                <w:szCs w:val="21"/>
              </w:rPr>
              <w:t>Not specified</w:t>
            </w:r>
          </w:p>
        </w:tc>
        <w:tc>
          <w:tcPr>
            <w:tcW w:w="6660" w:type="dxa"/>
            <w:tcBorders>
              <w:top w:val="single" w:sz="12" w:space="0" w:color="E0E6ED"/>
              <w:left w:val="single" w:sz="12" w:space="0" w:color="E0E6ED"/>
              <w:bottom w:val="single" w:sz="12" w:space="0" w:color="E0E6ED"/>
              <w:right w:val="single" w:sz="12" w:space="0" w:color="E0E6ED"/>
            </w:tcBorders>
            <w:shd w:val="clear" w:color="auto" w:fill="EDF3FA"/>
            <w:vAlign w:val="bottom"/>
          </w:tcPr>
          <w:p w14:paraId="013D2FFE" w14:textId="64F364F6" w:rsidR="00F6714C" w:rsidRPr="008A6D61" w:rsidRDefault="00F01378" w:rsidP="00FB54B0">
            <w:pPr>
              <w:spacing w:line="300" w:lineRule="atLeast"/>
              <w:rPr>
                <w:rFonts w:asciiTheme="minorHAnsi" w:hAnsiTheme="minorHAnsi" w:cstheme="minorHAnsi"/>
                <w:color w:val="000000" w:themeColor="text1"/>
                <w:sz w:val="21"/>
                <w:szCs w:val="21"/>
              </w:rPr>
            </w:pPr>
            <w:r w:rsidRPr="008A6D61">
              <w:rPr>
                <w:rFonts w:asciiTheme="minorHAnsi" w:hAnsiTheme="minorHAnsi" w:cstheme="minorHAnsi"/>
                <w:color w:val="000000" w:themeColor="text1"/>
                <w:sz w:val="21"/>
                <w:szCs w:val="21"/>
              </w:rPr>
              <w:t>Some states</w:t>
            </w:r>
            <w:r w:rsidR="00436C97" w:rsidRPr="008A6D61">
              <w:rPr>
                <w:rFonts w:asciiTheme="minorHAnsi" w:hAnsiTheme="minorHAnsi" w:cstheme="minorHAnsi"/>
                <w:color w:val="000000" w:themeColor="text1"/>
                <w:sz w:val="21"/>
                <w:szCs w:val="21"/>
              </w:rPr>
              <w:t xml:space="preserve"> either d</w:t>
            </w:r>
            <w:r w:rsidR="004312DB" w:rsidRPr="008A6D61">
              <w:rPr>
                <w:rFonts w:asciiTheme="minorHAnsi" w:hAnsiTheme="minorHAnsi" w:cstheme="minorHAnsi"/>
                <w:color w:val="000000" w:themeColor="text1"/>
                <w:sz w:val="21"/>
                <w:szCs w:val="21"/>
              </w:rPr>
              <w:t>id</w:t>
            </w:r>
            <w:r w:rsidR="00436C97" w:rsidRPr="008A6D61">
              <w:rPr>
                <w:rFonts w:asciiTheme="minorHAnsi" w:hAnsiTheme="minorHAnsi" w:cstheme="minorHAnsi"/>
                <w:color w:val="000000" w:themeColor="text1"/>
                <w:sz w:val="21"/>
                <w:szCs w:val="21"/>
              </w:rPr>
              <w:t xml:space="preserve"> not clearly delineate what criteria </w:t>
            </w:r>
            <w:r w:rsidR="00F8308E" w:rsidRPr="008A6D61">
              <w:rPr>
                <w:rFonts w:asciiTheme="minorHAnsi" w:hAnsiTheme="minorHAnsi" w:cstheme="minorHAnsi"/>
                <w:color w:val="000000" w:themeColor="text1"/>
                <w:sz w:val="21"/>
                <w:szCs w:val="21"/>
              </w:rPr>
              <w:t xml:space="preserve">an LEA </w:t>
            </w:r>
            <w:r w:rsidR="00436C97" w:rsidRPr="008A6D61">
              <w:rPr>
                <w:rFonts w:asciiTheme="minorHAnsi" w:hAnsiTheme="minorHAnsi" w:cstheme="minorHAnsi"/>
                <w:color w:val="000000" w:themeColor="text1"/>
                <w:sz w:val="21"/>
                <w:szCs w:val="21"/>
              </w:rPr>
              <w:t>must</w:t>
            </w:r>
            <w:r w:rsidR="00F8308E" w:rsidRPr="008A6D61">
              <w:rPr>
                <w:rFonts w:asciiTheme="minorHAnsi" w:hAnsiTheme="minorHAnsi" w:cstheme="minorHAnsi"/>
                <w:color w:val="000000" w:themeColor="text1"/>
                <w:sz w:val="21"/>
                <w:szCs w:val="21"/>
              </w:rPr>
              <w:t xml:space="preserve"> meet</w:t>
            </w:r>
            <w:r w:rsidR="00436C97" w:rsidRPr="008A6D61">
              <w:rPr>
                <w:rFonts w:asciiTheme="minorHAnsi" w:hAnsiTheme="minorHAnsi" w:cstheme="minorHAnsi"/>
                <w:color w:val="000000" w:themeColor="text1"/>
                <w:sz w:val="21"/>
                <w:szCs w:val="21"/>
              </w:rPr>
              <w:t xml:space="preserve"> for placement in any determination category or d</w:t>
            </w:r>
            <w:r w:rsidR="004312DB" w:rsidRPr="008A6D61">
              <w:rPr>
                <w:rFonts w:asciiTheme="minorHAnsi" w:hAnsiTheme="minorHAnsi" w:cstheme="minorHAnsi"/>
                <w:color w:val="000000" w:themeColor="text1"/>
                <w:sz w:val="21"/>
                <w:szCs w:val="21"/>
              </w:rPr>
              <w:t>id</w:t>
            </w:r>
            <w:r w:rsidR="00436C97" w:rsidRPr="008A6D61">
              <w:rPr>
                <w:rFonts w:asciiTheme="minorHAnsi" w:hAnsiTheme="minorHAnsi" w:cstheme="minorHAnsi"/>
                <w:color w:val="000000" w:themeColor="text1"/>
                <w:sz w:val="21"/>
                <w:szCs w:val="21"/>
              </w:rPr>
              <w:t xml:space="preserve"> not provide guidance on one or more determination categor</w:t>
            </w:r>
            <w:r w:rsidR="007D4FBA" w:rsidRPr="008A6D61">
              <w:rPr>
                <w:rFonts w:asciiTheme="minorHAnsi" w:hAnsiTheme="minorHAnsi" w:cstheme="minorHAnsi"/>
                <w:color w:val="000000" w:themeColor="text1"/>
                <w:sz w:val="21"/>
                <w:szCs w:val="21"/>
              </w:rPr>
              <w:t>ies</w:t>
            </w:r>
            <w:r w:rsidR="00436C97" w:rsidRPr="008A6D61">
              <w:rPr>
                <w:rFonts w:asciiTheme="minorHAnsi" w:hAnsiTheme="minorHAnsi" w:cstheme="minorHAnsi"/>
                <w:color w:val="000000" w:themeColor="text1"/>
                <w:sz w:val="21"/>
                <w:szCs w:val="21"/>
              </w:rPr>
              <w:t>.</w:t>
            </w:r>
          </w:p>
        </w:tc>
        <w:tc>
          <w:tcPr>
            <w:tcW w:w="1813" w:type="dxa"/>
            <w:tcBorders>
              <w:top w:val="single" w:sz="12" w:space="0" w:color="E0E6ED"/>
              <w:left w:val="single" w:sz="12" w:space="0" w:color="E0E6ED"/>
              <w:bottom w:val="single" w:sz="12" w:space="0" w:color="E0E6ED"/>
              <w:right w:val="single" w:sz="12" w:space="0" w:color="E0E6ED"/>
            </w:tcBorders>
            <w:shd w:val="clear" w:color="auto" w:fill="EDF3FA"/>
            <w:vAlign w:val="bottom"/>
          </w:tcPr>
          <w:p w14:paraId="2366C9F0" w14:textId="12B68A54" w:rsidR="00F6714C" w:rsidRPr="008A6D61" w:rsidRDefault="00F6714C" w:rsidP="00FB54B0">
            <w:pPr>
              <w:spacing w:line="300" w:lineRule="atLeast"/>
              <w:rPr>
                <w:rFonts w:asciiTheme="minorHAnsi" w:hAnsiTheme="minorHAnsi" w:cstheme="minorHAnsi"/>
                <w:color w:val="000000" w:themeColor="text1"/>
                <w:sz w:val="21"/>
                <w:szCs w:val="21"/>
              </w:rPr>
            </w:pPr>
            <w:r w:rsidRPr="008A6D61">
              <w:rPr>
                <w:rFonts w:asciiTheme="minorHAnsi" w:hAnsiTheme="minorHAnsi" w:cstheme="minorHAnsi"/>
                <w:color w:val="000000" w:themeColor="text1"/>
                <w:sz w:val="21"/>
                <w:szCs w:val="21"/>
              </w:rPr>
              <w:t>13 states</w:t>
            </w:r>
            <w:r w:rsidR="00436C97" w:rsidRPr="008A6D61">
              <w:rPr>
                <w:rStyle w:val="FootnoteReference"/>
                <w:rFonts w:asciiTheme="minorHAnsi" w:hAnsiTheme="minorHAnsi" w:cstheme="minorHAnsi"/>
                <w:color w:val="000000" w:themeColor="text1"/>
                <w:sz w:val="21"/>
                <w:szCs w:val="21"/>
              </w:rPr>
              <w:footnoteReference w:id="11"/>
            </w:r>
          </w:p>
        </w:tc>
      </w:tr>
      <w:bookmarkEnd w:id="0"/>
    </w:tbl>
    <w:p w14:paraId="2F243BFC" w14:textId="1579ACAA" w:rsidR="002A34BE" w:rsidRPr="008A6D61" w:rsidRDefault="002A34BE" w:rsidP="006C660F">
      <w:pPr>
        <w:spacing w:line="22" w:lineRule="atLeast"/>
        <w:rPr>
          <w:rFonts w:asciiTheme="minorHAnsi" w:hAnsiTheme="minorHAnsi" w:cstheme="minorHAnsi"/>
          <w:color w:val="455A64"/>
          <w:sz w:val="21"/>
          <w:szCs w:val="21"/>
        </w:rPr>
      </w:pPr>
    </w:p>
    <w:p w14:paraId="77E1BEE2" w14:textId="77777777" w:rsidR="002A34BE" w:rsidRPr="008A6D61" w:rsidRDefault="002A34BE">
      <w:pPr>
        <w:spacing w:after="0" w:line="240" w:lineRule="auto"/>
        <w:rPr>
          <w:rFonts w:asciiTheme="minorHAnsi" w:hAnsiTheme="minorHAnsi" w:cstheme="minorHAnsi"/>
          <w:color w:val="455A64"/>
          <w:sz w:val="21"/>
          <w:szCs w:val="21"/>
        </w:rPr>
      </w:pPr>
      <w:r w:rsidRPr="008A6D61">
        <w:rPr>
          <w:rFonts w:asciiTheme="minorHAnsi" w:hAnsiTheme="minorHAnsi" w:cstheme="minorHAnsi"/>
          <w:color w:val="455A64"/>
          <w:sz w:val="21"/>
          <w:szCs w:val="21"/>
        </w:rPr>
        <w:br w:type="page"/>
      </w:r>
    </w:p>
    <w:p w14:paraId="3A37B822" w14:textId="77777777" w:rsidR="001F610A" w:rsidRPr="008A6D61" w:rsidRDefault="002A34BE" w:rsidP="0085398C">
      <w:pPr>
        <w:pStyle w:val="Heading2"/>
        <w:sectPr w:rsidR="001F610A" w:rsidRPr="008A6D61" w:rsidSect="00E42F22">
          <w:pgSz w:w="12240" w:h="15840" w:code="1"/>
          <w:pgMar w:top="1440" w:right="1440" w:bottom="1440" w:left="1440" w:header="720" w:footer="720" w:gutter="0"/>
          <w:cols w:space="166"/>
          <w:titlePg/>
          <w:docGrid w:linePitch="360"/>
        </w:sectPr>
      </w:pPr>
      <w:r w:rsidRPr="008A6D61">
        <w:lastRenderedPageBreak/>
        <w:t>References</w:t>
      </w:r>
    </w:p>
    <w:p w14:paraId="56E44475" w14:textId="65C00E68" w:rsidR="00F166DE" w:rsidRPr="008A6D61" w:rsidRDefault="00F166DE" w:rsidP="00F166DE">
      <w:pPr>
        <w:spacing w:line="22" w:lineRule="atLeast"/>
        <w:rPr>
          <w:rFonts w:asciiTheme="minorHAnsi" w:hAnsiTheme="minorHAnsi" w:cstheme="minorHAnsi"/>
          <w:b/>
          <w:color w:val="auto"/>
          <w:sz w:val="21"/>
          <w:szCs w:val="21"/>
        </w:rPr>
      </w:pPr>
      <w:r w:rsidRPr="008A6D61">
        <w:rPr>
          <w:rFonts w:asciiTheme="minorHAnsi" w:hAnsiTheme="minorHAnsi" w:cstheme="minorHAnsi"/>
          <w:color w:val="auto"/>
          <w:sz w:val="21"/>
          <w:szCs w:val="21"/>
        </w:rPr>
        <w:t>U.S. Department of Education</w:t>
      </w:r>
      <w:r w:rsidR="00D507B8" w:rsidRPr="008A6D61">
        <w:rPr>
          <w:rFonts w:asciiTheme="minorHAnsi" w:hAnsiTheme="minorHAnsi" w:cstheme="minorHAnsi"/>
          <w:color w:val="auto"/>
          <w:sz w:val="21"/>
          <w:szCs w:val="21"/>
        </w:rPr>
        <w:t>.</w:t>
      </w:r>
      <w:r w:rsidRPr="008A6D61">
        <w:rPr>
          <w:rFonts w:asciiTheme="minorHAnsi" w:hAnsiTheme="minorHAnsi" w:cstheme="minorHAnsi"/>
          <w:color w:val="auto"/>
          <w:sz w:val="21"/>
          <w:szCs w:val="21"/>
        </w:rPr>
        <w:t xml:space="preserve"> (n.d.</w:t>
      </w:r>
      <w:r w:rsidR="00F53A0E" w:rsidRPr="008A6D61">
        <w:rPr>
          <w:rFonts w:asciiTheme="minorHAnsi" w:hAnsiTheme="minorHAnsi" w:cstheme="minorHAnsi"/>
          <w:color w:val="auto"/>
          <w:sz w:val="21"/>
          <w:szCs w:val="21"/>
        </w:rPr>
        <w:t>-a</w:t>
      </w:r>
      <w:r w:rsidRPr="008A6D61">
        <w:rPr>
          <w:rFonts w:asciiTheme="minorHAnsi" w:hAnsiTheme="minorHAnsi" w:cstheme="minorHAnsi"/>
          <w:color w:val="auto"/>
          <w:sz w:val="21"/>
          <w:szCs w:val="21"/>
        </w:rPr>
        <w:t xml:space="preserve">). </w:t>
      </w:r>
      <w:r w:rsidRPr="008A6D61">
        <w:rPr>
          <w:rFonts w:asciiTheme="minorHAnsi" w:hAnsiTheme="minorHAnsi" w:cstheme="minorHAnsi"/>
          <w:i/>
          <w:color w:val="auto"/>
          <w:sz w:val="21"/>
          <w:szCs w:val="21"/>
        </w:rPr>
        <w:t>P</w:t>
      </w:r>
      <w:r w:rsidRPr="008A6D61">
        <w:rPr>
          <w:rFonts w:asciiTheme="minorHAnsi" w:hAnsiTheme="minorHAnsi" w:cstheme="minorHAnsi"/>
          <w:i/>
          <w:sz w:val="21"/>
          <w:szCs w:val="21"/>
        </w:rPr>
        <w:t>art B State Performance Plan (SPP) and Annual Performance Report (APR) Part B Indicator Measurement Table: For Federal Fiscal Year (FFY) 2020 Submission</w:t>
      </w:r>
      <w:r w:rsidRPr="008A6D61">
        <w:rPr>
          <w:rFonts w:asciiTheme="minorHAnsi" w:hAnsiTheme="minorHAnsi" w:cstheme="minorHAnsi"/>
          <w:sz w:val="21"/>
          <w:szCs w:val="21"/>
        </w:rPr>
        <w:t xml:space="preserve">. Retrieved from </w:t>
      </w:r>
      <w:hyperlink r:id="rId32" w:history="1">
        <w:r w:rsidRPr="008A6D61">
          <w:rPr>
            <w:rStyle w:val="Hyperlink"/>
            <w:rFonts w:cstheme="minorHAnsi"/>
            <w:szCs w:val="21"/>
          </w:rPr>
          <w:t>https://sites.ed.gov/idea/files/1820-0624_FFY20Part_B_SPPAPR_Measurement_TableFINAL.pdf</w:t>
        </w:r>
      </w:hyperlink>
      <w:r w:rsidRPr="008A6D61">
        <w:rPr>
          <w:rFonts w:asciiTheme="minorHAnsi" w:hAnsiTheme="minorHAnsi" w:cstheme="minorHAnsi"/>
          <w:sz w:val="21"/>
          <w:szCs w:val="21"/>
        </w:rPr>
        <w:t>.</w:t>
      </w:r>
    </w:p>
    <w:p w14:paraId="14609AB0" w14:textId="14A49DA3" w:rsidR="00A95C77" w:rsidRPr="008A6D61" w:rsidRDefault="00A95C77" w:rsidP="00A95C77">
      <w:pPr>
        <w:spacing w:line="22" w:lineRule="atLeast"/>
        <w:rPr>
          <w:rFonts w:asciiTheme="minorHAnsi" w:hAnsiTheme="minorHAnsi" w:cstheme="minorHAnsi"/>
          <w:color w:val="455A64"/>
          <w:sz w:val="21"/>
          <w:szCs w:val="21"/>
        </w:rPr>
      </w:pPr>
      <w:r w:rsidRPr="008A6D61">
        <w:rPr>
          <w:rFonts w:asciiTheme="minorHAnsi" w:hAnsiTheme="minorHAnsi" w:cstheme="minorHAnsi"/>
          <w:color w:val="auto"/>
          <w:sz w:val="21"/>
          <w:szCs w:val="21"/>
        </w:rPr>
        <w:t>U.S. Department of Education. (n.d.-</w:t>
      </w:r>
      <w:r w:rsidR="00F53A0E" w:rsidRPr="008A6D61">
        <w:rPr>
          <w:rFonts w:asciiTheme="minorHAnsi" w:hAnsiTheme="minorHAnsi" w:cstheme="minorHAnsi"/>
          <w:color w:val="auto"/>
          <w:sz w:val="21"/>
          <w:szCs w:val="21"/>
        </w:rPr>
        <w:t>b</w:t>
      </w:r>
      <w:r w:rsidRPr="008A6D61">
        <w:rPr>
          <w:rFonts w:asciiTheme="minorHAnsi" w:hAnsiTheme="minorHAnsi" w:cstheme="minorHAnsi"/>
          <w:color w:val="auto"/>
          <w:sz w:val="21"/>
          <w:szCs w:val="21"/>
        </w:rPr>
        <w:t xml:space="preserve">). </w:t>
      </w:r>
      <w:r w:rsidRPr="008A6D61">
        <w:rPr>
          <w:rFonts w:asciiTheme="minorHAnsi" w:hAnsiTheme="minorHAnsi" w:cstheme="minorHAnsi"/>
          <w:i/>
          <w:color w:val="auto"/>
          <w:sz w:val="21"/>
          <w:szCs w:val="21"/>
        </w:rPr>
        <w:t>Sec.</w:t>
      </w:r>
      <w:r w:rsidR="00FB54B0" w:rsidRPr="008A6D61">
        <w:rPr>
          <w:rFonts w:asciiTheme="minorHAnsi" w:hAnsiTheme="minorHAnsi" w:cstheme="minorHAnsi"/>
          <w:i/>
          <w:color w:val="auto"/>
          <w:sz w:val="21"/>
          <w:szCs w:val="21"/>
        </w:rPr>
        <w:t> </w:t>
      </w:r>
      <w:r w:rsidRPr="008A6D61">
        <w:rPr>
          <w:rFonts w:asciiTheme="minorHAnsi" w:hAnsiTheme="minorHAnsi" w:cstheme="minorHAnsi"/>
          <w:i/>
          <w:color w:val="auto"/>
          <w:sz w:val="21"/>
          <w:szCs w:val="21"/>
        </w:rPr>
        <w:t>300.600 State Monitoring and Enforcement</w:t>
      </w:r>
      <w:r w:rsidRPr="008A6D61">
        <w:rPr>
          <w:rFonts w:asciiTheme="minorHAnsi" w:hAnsiTheme="minorHAnsi" w:cstheme="minorHAnsi"/>
          <w:color w:val="auto"/>
          <w:sz w:val="21"/>
          <w:szCs w:val="21"/>
        </w:rPr>
        <w:t xml:space="preserve">. IDEA: Individuals with Disabilities Education Act. Retrieved May 4, 2021, from </w:t>
      </w:r>
      <w:hyperlink r:id="rId33" w:history="1">
        <w:r w:rsidRPr="008A6D61">
          <w:rPr>
            <w:rStyle w:val="Hyperlink"/>
            <w:rFonts w:cstheme="minorHAnsi"/>
            <w:szCs w:val="21"/>
          </w:rPr>
          <w:t>https://sites.ed.gov/idea/regs/b/f/300.600</w:t>
        </w:r>
      </w:hyperlink>
      <w:r w:rsidRPr="008A6D61">
        <w:rPr>
          <w:rFonts w:asciiTheme="minorHAnsi" w:hAnsiTheme="minorHAnsi" w:cstheme="minorHAnsi"/>
          <w:color w:val="auto"/>
          <w:sz w:val="21"/>
          <w:szCs w:val="21"/>
        </w:rPr>
        <w:t>.</w:t>
      </w:r>
    </w:p>
    <w:p w14:paraId="0D9E37CA" w14:textId="593ECBF9" w:rsidR="00A95C77" w:rsidRPr="008A6D61" w:rsidRDefault="00A95C77" w:rsidP="00A95C77">
      <w:pPr>
        <w:spacing w:line="22" w:lineRule="atLeast"/>
        <w:rPr>
          <w:rFonts w:asciiTheme="minorHAnsi" w:hAnsiTheme="minorHAnsi" w:cstheme="minorHAnsi"/>
          <w:color w:val="auto"/>
          <w:sz w:val="21"/>
          <w:szCs w:val="21"/>
        </w:rPr>
      </w:pPr>
      <w:r w:rsidRPr="008A6D61">
        <w:rPr>
          <w:rFonts w:asciiTheme="minorHAnsi" w:hAnsiTheme="minorHAnsi" w:cstheme="minorHAnsi"/>
          <w:color w:val="auto"/>
          <w:sz w:val="21"/>
          <w:szCs w:val="21"/>
        </w:rPr>
        <w:t>U.S. Department of Education. (n.d.-</w:t>
      </w:r>
      <w:r w:rsidR="00F53A0E" w:rsidRPr="008A6D61">
        <w:rPr>
          <w:rFonts w:asciiTheme="minorHAnsi" w:hAnsiTheme="minorHAnsi" w:cstheme="minorHAnsi"/>
          <w:color w:val="auto"/>
          <w:sz w:val="21"/>
          <w:szCs w:val="21"/>
        </w:rPr>
        <w:t>c</w:t>
      </w:r>
      <w:r w:rsidRPr="008A6D61">
        <w:rPr>
          <w:rFonts w:asciiTheme="minorHAnsi" w:hAnsiTheme="minorHAnsi" w:cstheme="minorHAnsi"/>
          <w:color w:val="auto"/>
          <w:sz w:val="21"/>
          <w:szCs w:val="21"/>
        </w:rPr>
        <w:t xml:space="preserve">). </w:t>
      </w:r>
      <w:r w:rsidRPr="008A6D61">
        <w:rPr>
          <w:rFonts w:asciiTheme="minorHAnsi" w:hAnsiTheme="minorHAnsi" w:cstheme="minorHAnsi"/>
          <w:i/>
          <w:color w:val="auto"/>
          <w:sz w:val="21"/>
          <w:szCs w:val="21"/>
        </w:rPr>
        <w:t>Sec.</w:t>
      </w:r>
      <w:r w:rsidR="00FB54B0" w:rsidRPr="008A6D61">
        <w:rPr>
          <w:rFonts w:asciiTheme="minorHAnsi" w:hAnsiTheme="minorHAnsi" w:cstheme="minorHAnsi"/>
          <w:i/>
          <w:color w:val="auto"/>
          <w:sz w:val="21"/>
          <w:szCs w:val="21"/>
        </w:rPr>
        <w:t> </w:t>
      </w:r>
      <w:r w:rsidRPr="008A6D61">
        <w:rPr>
          <w:rFonts w:asciiTheme="minorHAnsi" w:hAnsiTheme="minorHAnsi" w:cstheme="minorHAnsi"/>
          <w:i/>
          <w:color w:val="auto"/>
          <w:sz w:val="21"/>
          <w:szCs w:val="21"/>
        </w:rPr>
        <w:t>300.600(a)(2)</w:t>
      </w:r>
      <w:r w:rsidRPr="008A6D61">
        <w:rPr>
          <w:rFonts w:asciiTheme="minorHAnsi" w:hAnsiTheme="minorHAnsi" w:cstheme="minorHAnsi"/>
          <w:color w:val="auto"/>
          <w:sz w:val="21"/>
          <w:szCs w:val="21"/>
        </w:rPr>
        <w:t xml:space="preserve">. IDEA: </w:t>
      </w:r>
      <w:r w:rsidR="00036202" w:rsidRPr="008A6D61">
        <w:rPr>
          <w:rFonts w:asciiTheme="minorHAnsi" w:hAnsiTheme="minorHAnsi" w:cstheme="minorHAnsi"/>
          <w:color w:val="auto"/>
          <w:sz w:val="21"/>
          <w:szCs w:val="21"/>
        </w:rPr>
        <w:t>Individuals</w:t>
      </w:r>
      <w:r w:rsidRPr="008A6D61">
        <w:rPr>
          <w:rFonts w:asciiTheme="minorHAnsi" w:hAnsiTheme="minorHAnsi" w:cstheme="minorHAnsi"/>
          <w:color w:val="auto"/>
          <w:sz w:val="21"/>
          <w:szCs w:val="21"/>
        </w:rPr>
        <w:t xml:space="preserve"> with Disabilities Education Act. Retrieved May 4, 2021, from </w:t>
      </w:r>
      <w:hyperlink r:id="rId34" w:history="1">
        <w:r w:rsidRPr="008A6D61">
          <w:rPr>
            <w:rStyle w:val="Hyperlink"/>
            <w:rFonts w:cstheme="minorHAnsi"/>
            <w:szCs w:val="21"/>
          </w:rPr>
          <w:t>https://sites.ed.gov/idea/regs/b/f/300.600/a/2</w:t>
        </w:r>
      </w:hyperlink>
      <w:r w:rsidRPr="008A6D61">
        <w:rPr>
          <w:rFonts w:asciiTheme="minorHAnsi" w:hAnsiTheme="minorHAnsi" w:cstheme="minorHAnsi"/>
          <w:color w:val="auto"/>
          <w:sz w:val="21"/>
          <w:szCs w:val="21"/>
        </w:rPr>
        <w:t>.</w:t>
      </w:r>
    </w:p>
    <w:p w14:paraId="67D24287" w14:textId="2E651FBA" w:rsidR="00A77732" w:rsidRPr="008A6D61" w:rsidRDefault="00FB54B0" w:rsidP="00A95C77">
      <w:pPr>
        <w:spacing w:line="22" w:lineRule="atLeast"/>
        <w:rPr>
          <w:rFonts w:asciiTheme="minorHAnsi" w:hAnsiTheme="minorHAnsi" w:cstheme="minorHAnsi"/>
          <w:color w:val="455A64"/>
          <w:sz w:val="21"/>
          <w:szCs w:val="21"/>
        </w:rPr>
      </w:pPr>
      <w:r w:rsidRPr="008A6D61">
        <w:rPr>
          <w:rFonts w:asciiTheme="minorHAnsi" w:hAnsiTheme="minorHAnsi" w:cstheme="minorHAnsi"/>
          <w:sz w:val="21"/>
          <w:szCs w:val="21"/>
        </w:rPr>
        <w:br w:type="column"/>
      </w:r>
      <w:r w:rsidR="00A77732" w:rsidRPr="008A6D61">
        <w:rPr>
          <w:rFonts w:asciiTheme="minorHAnsi" w:hAnsiTheme="minorHAnsi" w:cstheme="minorHAnsi"/>
          <w:sz w:val="21"/>
          <w:szCs w:val="21"/>
        </w:rPr>
        <w:t xml:space="preserve">U.S. Department of Education. (n.d.-d). </w:t>
      </w:r>
      <w:r w:rsidR="00A77732" w:rsidRPr="008A6D61">
        <w:rPr>
          <w:rFonts w:asciiTheme="minorHAnsi" w:hAnsiTheme="minorHAnsi" w:cstheme="minorHAnsi"/>
          <w:i/>
          <w:sz w:val="21"/>
          <w:szCs w:val="21"/>
        </w:rPr>
        <w:t>Sec.</w:t>
      </w:r>
      <w:r w:rsidRPr="008A6D61">
        <w:rPr>
          <w:rFonts w:asciiTheme="minorHAnsi" w:hAnsiTheme="minorHAnsi" w:cstheme="minorHAnsi"/>
          <w:i/>
          <w:sz w:val="21"/>
          <w:szCs w:val="21"/>
        </w:rPr>
        <w:t> </w:t>
      </w:r>
      <w:r w:rsidR="00A77732" w:rsidRPr="008A6D61">
        <w:rPr>
          <w:rFonts w:asciiTheme="minorHAnsi" w:hAnsiTheme="minorHAnsi" w:cstheme="minorHAnsi"/>
          <w:i/>
          <w:sz w:val="21"/>
          <w:szCs w:val="21"/>
        </w:rPr>
        <w:t>300.600(b)(2)</w:t>
      </w:r>
      <w:r w:rsidR="00A77732" w:rsidRPr="008A6D61">
        <w:rPr>
          <w:rFonts w:asciiTheme="minorHAnsi" w:hAnsiTheme="minorHAnsi" w:cstheme="minorHAnsi"/>
          <w:sz w:val="21"/>
          <w:szCs w:val="21"/>
        </w:rPr>
        <w:t xml:space="preserve">. IDEA: Individuals with Disabilities Education Act. Retrieved from </w:t>
      </w:r>
      <w:hyperlink r:id="rId35" w:history="1">
        <w:r w:rsidR="00A77732" w:rsidRPr="008A6D61">
          <w:rPr>
            <w:rStyle w:val="Hyperlink"/>
            <w:rFonts w:cstheme="minorHAnsi"/>
            <w:szCs w:val="21"/>
          </w:rPr>
          <w:t>https://sites.ed.gov/idea/regs/b/f/300.600/b/2</w:t>
        </w:r>
      </w:hyperlink>
      <w:r w:rsidR="00A77732" w:rsidRPr="008A6D61">
        <w:rPr>
          <w:rFonts w:asciiTheme="minorHAnsi" w:hAnsiTheme="minorHAnsi" w:cstheme="minorHAnsi"/>
          <w:sz w:val="21"/>
          <w:szCs w:val="21"/>
        </w:rPr>
        <w:t>.</w:t>
      </w:r>
    </w:p>
    <w:p w14:paraId="719DB782" w14:textId="38A950B5" w:rsidR="002A34BE" w:rsidRPr="008A6D61" w:rsidRDefault="00E80F69" w:rsidP="002A34BE">
      <w:pPr>
        <w:spacing w:line="22" w:lineRule="atLeast"/>
        <w:rPr>
          <w:rFonts w:asciiTheme="minorHAnsi" w:hAnsiTheme="minorHAnsi" w:cstheme="minorHAnsi"/>
          <w:color w:val="auto"/>
          <w:sz w:val="21"/>
          <w:szCs w:val="21"/>
        </w:rPr>
      </w:pPr>
      <w:r w:rsidRPr="008A6D61">
        <w:rPr>
          <w:rFonts w:asciiTheme="minorHAnsi" w:hAnsiTheme="minorHAnsi" w:cstheme="minorHAnsi"/>
          <w:color w:val="auto"/>
          <w:sz w:val="21"/>
          <w:szCs w:val="21"/>
        </w:rPr>
        <w:t xml:space="preserve">U.S. Department of Education. </w:t>
      </w:r>
      <w:r w:rsidR="00794AD7" w:rsidRPr="008A6D61">
        <w:rPr>
          <w:rFonts w:asciiTheme="minorHAnsi" w:hAnsiTheme="minorHAnsi" w:cstheme="minorHAnsi"/>
          <w:color w:val="auto"/>
          <w:sz w:val="21"/>
          <w:szCs w:val="21"/>
        </w:rPr>
        <w:t>(n.d.-</w:t>
      </w:r>
      <w:r w:rsidR="00A77732" w:rsidRPr="008A6D61">
        <w:rPr>
          <w:rFonts w:asciiTheme="minorHAnsi" w:hAnsiTheme="minorHAnsi" w:cstheme="minorHAnsi"/>
          <w:color w:val="auto"/>
          <w:sz w:val="21"/>
          <w:szCs w:val="21"/>
        </w:rPr>
        <w:t>e</w:t>
      </w:r>
      <w:r w:rsidR="00794AD7" w:rsidRPr="008A6D61">
        <w:rPr>
          <w:rFonts w:asciiTheme="minorHAnsi" w:hAnsiTheme="minorHAnsi" w:cstheme="minorHAnsi"/>
          <w:color w:val="auto"/>
          <w:sz w:val="21"/>
          <w:szCs w:val="21"/>
        </w:rPr>
        <w:t xml:space="preserve">). </w:t>
      </w:r>
      <w:r w:rsidR="00794AD7" w:rsidRPr="008A6D61">
        <w:rPr>
          <w:rFonts w:asciiTheme="minorHAnsi" w:hAnsiTheme="minorHAnsi" w:cstheme="minorHAnsi"/>
          <w:i/>
          <w:color w:val="auto"/>
          <w:sz w:val="21"/>
          <w:szCs w:val="21"/>
        </w:rPr>
        <w:t>Sec.</w:t>
      </w:r>
      <w:r w:rsidR="00FB54B0" w:rsidRPr="008A6D61">
        <w:rPr>
          <w:rFonts w:asciiTheme="minorHAnsi" w:hAnsiTheme="minorHAnsi" w:cstheme="minorHAnsi"/>
          <w:i/>
          <w:color w:val="auto"/>
          <w:sz w:val="21"/>
          <w:szCs w:val="21"/>
        </w:rPr>
        <w:t> </w:t>
      </w:r>
      <w:r w:rsidR="00794AD7" w:rsidRPr="008A6D61">
        <w:rPr>
          <w:rFonts w:asciiTheme="minorHAnsi" w:hAnsiTheme="minorHAnsi" w:cstheme="minorHAnsi"/>
          <w:i/>
          <w:color w:val="auto"/>
          <w:sz w:val="21"/>
          <w:szCs w:val="21"/>
        </w:rPr>
        <w:t>300.603(b)(1)</w:t>
      </w:r>
      <w:r w:rsidR="00794AD7" w:rsidRPr="008A6D61">
        <w:rPr>
          <w:rFonts w:asciiTheme="minorHAnsi" w:hAnsiTheme="minorHAnsi" w:cstheme="minorHAnsi"/>
          <w:color w:val="auto"/>
          <w:sz w:val="21"/>
          <w:szCs w:val="21"/>
        </w:rPr>
        <w:t xml:space="preserve">. </w:t>
      </w:r>
      <w:r w:rsidRPr="008A6D61">
        <w:rPr>
          <w:rFonts w:asciiTheme="minorHAnsi" w:hAnsiTheme="minorHAnsi" w:cstheme="minorHAnsi"/>
          <w:color w:val="auto"/>
          <w:sz w:val="21"/>
          <w:szCs w:val="21"/>
        </w:rPr>
        <w:t>IDEA</w:t>
      </w:r>
      <w:r w:rsidR="00794AD7" w:rsidRPr="008A6D61">
        <w:rPr>
          <w:rFonts w:asciiTheme="minorHAnsi" w:hAnsiTheme="minorHAnsi" w:cstheme="minorHAnsi"/>
          <w:color w:val="auto"/>
          <w:sz w:val="21"/>
          <w:szCs w:val="21"/>
        </w:rPr>
        <w:t xml:space="preserve">: </w:t>
      </w:r>
      <w:r w:rsidR="00036202" w:rsidRPr="008A6D61">
        <w:rPr>
          <w:rFonts w:asciiTheme="minorHAnsi" w:hAnsiTheme="minorHAnsi" w:cstheme="minorHAnsi"/>
          <w:color w:val="auto"/>
          <w:sz w:val="21"/>
          <w:szCs w:val="21"/>
        </w:rPr>
        <w:t>Individuals</w:t>
      </w:r>
      <w:r w:rsidR="00794AD7" w:rsidRPr="008A6D61">
        <w:rPr>
          <w:rFonts w:asciiTheme="minorHAnsi" w:hAnsiTheme="minorHAnsi" w:cstheme="minorHAnsi"/>
          <w:color w:val="auto"/>
          <w:sz w:val="21"/>
          <w:szCs w:val="21"/>
        </w:rPr>
        <w:t xml:space="preserve"> with Disabilities </w:t>
      </w:r>
      <w:r w:rsidRPr="008A6D61">
        <w:rPr>
          <w:rFonts w:asciiTheme="minorHAnsi" w:hAnsiTheme="minorHAnsi" w:cstheme="minorHAnsi"/>
          <w:color w:val="auto"/>
          <w:sz w:val="21"/>
          <w:szCs w:val="21"/>
        </w:rPr>
        <w:t>Education</w:t>
      </w:r>
      <w:r w:rsidR="00794AD7" w:rsidRPr="008A6D61">
        <w:rPr>
          <w:rFonts w:asciiTheme="minorHAnsi" w:hAnsiTheme="minorHAnsi" w:cstheme="minorHAnsi"/>
          <w:color w:val="auto"/>
          <w:sz w:val="21"/>
          <w:szCs w:val="21"/>
        </w:rPr>
        <w:t xml:space="preserve"> Act.</w:t>
      </w:r>
      <w:r w:rsidRPr="008A6D61">
        <w:rPr>
          <w:rFonts w:asciiTheme="minorHAnsi" w:hAnsiTheme="minorHAnsi" w:cstheme="minorHAnsi"/>
          <w:color w:val="auto"/>
          <w:sz w:val="21"/>
          <w:szCs w:val="21"/>
        </w:rPr>
        <w:t xml:space="preserve"> Retrieved from </w:t>
      </w:r>
      <w:hyperlink r:id="rId36" w:history="1">
        <w:r w:rsidRPr="008A6D61">
          <w:rPr>
            <w:rStyle w:val="Hyperlink"/>
            <w:rFonts w:cstheme="minorHAnsi"/>
            <w:szCs w:val="21"/>
          </w:rPr>
          <w:t>https://sites.ed.gov/idea/regs/b/f/300.603/b/1</w:t>
        </w:r>
      </w:hyperlink>
      <w:r w:rsidR="00794AD7" w:rsidRPr="008A6D61">
        <w:rPr>
          <w:rFonts w:asciiTheme="minorHAnsi" w:hAnsiTheme="minorHAnsi" w:cstheme="minorHAnsi"/>
          <w:color w:val="auto"/>
          <w:sz w:val="21"/>
          <w:szCs w:val="21"/>
        </w:rPr>
        <w:t>.</w:t>
      </w:r>
    </w:p>
    <w:p w14:paraId="332B2F37" w14:textId="1BD4AE50" w:rsidR="006C2EED" w:rsidRPr="008A6D61" w:rsidRDefault="00980DD6" w:rsidP="00F166DE">
      <w:pPr>
        <w:spacing w:line="22" w:lineRule="atLeast"/>
        <w:rPr>
          <w:rFonts w:asciiTheme="minorHAnsi" w:hAnsiTheme="minorHAnsi" w:cstheme="minorHAnsi"/>
          <w:b/>
          <w:color w:val="auto"/>
          <w:sz w:val="21"/>
          <w:szCs w:val="21"/>
        </w:rPr>
      </w:pPr>
      <w:r w:rsidRPr="008A6D61">
        <w:rPr>
          <w:rFonts w:asciiTheme="minorHAnsi" w:hAnsiTheme="minorHAnsi" w:cstheme="minorHAnsi"/>
          <w:color w:val="auto"/>
          <w:sz w:val="21"/>
          <w:szCs w:val="21"/>
        </w:rPr>
        <w:t>U.S. Department of Education</w:t>
      </w:r>
      <w:r w:rsidR="0010230C" w:rsidRPr="008A6D61">
        <w:rPr>
          <w:rFonts w:asciiTheme="minorHAnsi" w:hAnsiTheme="minorHAnsi" w:cstheme="minorHAnsi"/>
          <w:color w:val="auto"/>
          <w:sz w:val="21"/>
          <w:szCs w:val="21"/>
        </w:rPr>
        <w:t xml:space="preserve">, </w:t>
      </w:r>
      <w:r w:rsidR="00794AD7" w:rsidRPr="008A6D61">
        <w:rPr>
          <w:rFonts w:asciiTheme="minorHAnsi" w:hAnsiTheme="minorHAnsi" w:cstheme="minorHAnsi"/>
          <w:color w:val="auto"/>
          <w:sz w:val="21"/>
          <w:szCs w:val="21"/>
        </w:rPr>
        <w:t>Office of Special Education and Rehabilitative Services. (</w:t>
      </w:r>
      <w:r w:rsidR="002A34BE" w:rsidRPr="008A6D61">
        <w:rPr>
          <w:rFonts w:asciiTheme="minorHAnsi" w:hAnsiTheme="minorHAnsi" w:cstheme="minorHAnsi"/>
          <w:color w:val="auto"/>
          <w:sz w:val="21"/>
          <w:szCs w:val="21"/>
        </w:rPr>
        <w:t>2009</w:t>
      </w:r>
      <w:r w:rsidR="00794AD7" w:rsidRPr="008A6D61">
        <w:rPr>
          <w:rFonts w:asciiTheme="minorHAnsi" w:hAnsiTheme="minorHAnsi" w:cstheme="minorHAnsi"/>
          <w:color w:val="auto"/>
          <w:sz w:val="21"/>
          <w:szCs w:val="21"/>
        </w:rPr>
        <w:t xml:space="preserve">). </w:t>
      </w:r>
      <w:r w:rsidR="002A34BE" w:rsidRPr="008A6D61">
        <w:rPr>
          <w:rFonts w:asciiTheme="minorHAnsi" w:hAnsiTheme="minorHAnsi" w:cstheme="minorHAnsi"/>
          <w:i/>
          <w:iCs/>
          <w:sz w:val="21"/>
          <w:szCs w:val="21"/>
        </w:rPr>
        <w:t>Questions and Answers on Monitoring, Technical Assistance, and Enforcement</w:t>
      </w:r>
      <w:r w:rsidR="00794AD7" w:rsidRPr="008A6D61">
        <w:rPr>
          <w:rFonts w:asciiTheme="minorHAnsi" w:hAnsiTheme="minorHAnsi" w:cstheme="minorHAnsi"/>
          <w:color w:val="auto"/>
          <w:sz w:val="21"/>
          <w:szCs w:val="21"/>
        </w:rPr>
        <w:t>.</w:t>
      </w:r>
      <w:r w:rsidRPr="008A6D61">
        <w:rPr>
          <w:rFonts w:asciiTheme="minorHAnsi" w:hAnsiTheme="minorHAnsi" w:cstheme="minorHAnsi"/>
          <w:color w:val="auto"/>
          <w:sz w:val="21"/>
          <w:szCs w:val="21"/>
        </w:rPr>
        <w:t xml:space="preserve"> Retrieved </w:t>
      </w:r>
      <w:r w:rsidR="00794AD7" w:rsidRPr="008A6D61">
        <w:rPr>
          <w:rFonts w:asciiTheme="minorHAnsi" w:hAnsiTheme="minorHAnsi" w:cstheme="minorHAnsi"/>
          <w:color w:val="auto"/>
          <w:sz w:val="21"/>
          <w:szCs w:val="21"/>
        </w:rPr>
        <w:t xml:space="preserve">May 4, 2021, </w:t>
      </w:r>
      <w:r w:rsidRPr="008A6D61">
        <w:rPr>
          <w:rFonts w:asciiTheme="minorHAnsi" w:hAnsiTheme="minorHAnsi" w:cstheme="minorHAnsi"/>
          <w:color w:val="auto"/>
          <w:sz w:val="21"/>
          <w:szCs w:val="21"/>
        </w:rPr>
        <w:t xml:space="preserve">from </w:t>
      </w:r>
      <w:hyperlink r:id="rId37" w:history="1">
        <w:r w:rsidRPr="008A6D61">
          <w:rPr>
            <w:rStyle w:val="Hyperlink"/>
            <w:rFonts w:cstheme="minorHAnsi"/>
            <w:szCs w:val="21"/>
          </w:rPr>
          <w:t>https://sites.ed.gov/idea/files/08-0101_Monitoring_FINAL_June_2009.pdf</w:t>
        </w:r>
      </w:hyperlink>
      <w:r w:rsidR="00794AD7" w:rsidRPr="008A6D61">
        <w:rPr>
          <w:rFonts w:asciiTheme="minorHAnsi" w:hAnsiTheme="minorHAnsi" w:cstheme="minorHAnsi"/>
          <w:color w:val="auto"/>
          <w:sz w:val="21"/>
          <w:szCs w:val="21"/>
        </w:rPr>
        <w:t>.</w:t>
      </w:r>
    </w:p>
    <w:sectPr w:rsidR="006C2EED" w:rsidRPr="008A6D61" w:rsidSect="00FB54B0">
      <w:type w:val="continuous"/>
      <w:pgSz w:w="12240" w:h="15840" w:code="1"/>
      <w:pgMar w:top="1440" w:right="1440" w:bottom="1440" w:left="1440" w:header="864" w:footer="288"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800FC" w14:textId="77777777" w:rsidR="00AF09F3" w:rsidRDefault="00AF09F3" w:rsidP="00546719">
      <w:r>
        <w:separator/>
      </w:r>
    </w:p>
  </w:endnote>
  <w:endnote w:type="continuationSeparator" w:id="0">
    <w:p w14:paraId="18503646" w14:textId="77777777" w:rsidR="00AF09F3" w:rsidRDefault="00AF09F3" w:rsidP="00546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Corbel"/>
    <w:panose1 w:val="020B0503030403020204"/>
    <w:charset w:val="00"/>
    <w:family w:val="swiss"/>
    <w:notTrueType/>
    <w:pitch w:val="variable"/>
    <w:sig w:usb0="20000287" w:usb1="00000001" w:usb2="00000000" w:usb3="00000000" w:csb0="0000019F" w:csb1="00000000"/>
  </w:font>
  <w:font w:name="Open Sans">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14406666"/>
      <w:docPartObj>
        <w:docPartGallery w:val="Page Numbers (Bottom of Page)"/>
        <w:docPartUnique/>
      </w:docPartObj>
    </w:sdtPr>
    <w:sdtEndPr>
      <w:rPr>
        <w:rStyle w:val="PageNumber"/>
      </w:rPr>
    </w:sdtEndPr>
    <w:sdtContent>
      <w:p w14:paraId="0658BF26" w14:textId="77777777" w:rsidR="00AB3A74" w:rsidRDefault="00AB3A74" w:rsidP="00CE2B2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5A9D0C0" w14:textId="77777777" w:rsidR="00AB3A74" w:rsidRDefault="00AB3A74" w:rsidP="00DF776C">
    <w:pPr>
      <w:pStyle w:val="Footer"/>
      <w:ind w:right="360"/>
      <w:rPr>
        <w:rStyle w:val="PageNumber"/>
      </w:rPr>
    </w:pPr>
  </w:p>
  <w:p w14:paraId="2EBA1537" w14:textId="77777777" w:rsidR="00AB3A74" w:rsidRDefault="00AB3A74" w:rsidP="005467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DCBEB" w14:textId="77777777" w:rsidR="00AB3A74" w:rsidRPr="00DF776C" w:rsidRDefault="00AB3A74" w:rsidP="00DF776C">
    <w:pPr>
      <w:pStyle w:val="Footer"/>
      <w:ind w:right="360"/>
      <w:rPr>
        <w:rStyle w:val="PageNumber"/>
        <w:color w:val="767171" w:themeColor="background2" w:themeShade="80"/>
      </w:rPr>
    </w:pPr>
  </w:p>
  <w:sdt>
    <w:sdtPr>
      <w:rPr>
        <w:rStyle w:val="PageNumber"/>
      </w:rPr>
      <w:id w:val="-1340545886"/>
      <w:docPartObj>
        <w:docPartGallery w:val="Page Numbers (Bottom of Page)"/>
        <w:docPartUnique/>
      </w:docPartObj>
    </w:sdtPr>
    <w:sdtEndPr>
      <w:rPr>
        <w:rStyle w:val="PageNumber"/>
      </w:rPr>
    </w:sdtEndPr>
    <w:sdtContent>
      <w:p w14:paraId="7984DA2C" w14:textId="251F8E95" w:rsidR="00AB3A74" w:rsidRDefault="00AB3A74" w:rsidP="006C660F">
        <w:pPr>
          <w:pStyle w:val="Footer"/>
          <w:framePr w:wrap="none" w:vAnchor="text" w:hAnchor="page" w:x="751" w:y="233"/>
          <w:rPr>
            <w:rStyle w:val="PageNumber"/>
          </w:rPr>
        </w:pPr>
        <w:r w:rsidRPr="006C660F">
          <w:rPr>
            <w:rStyle w:val="PageNumber"/>
            <w:rFonts w:asciiTheme="minorHAnsi" w:hAnsiTheme="minorHAnsi" w:cstheme="minorHAnsi"/>
          </w:rPr>
          <w:fldChar w:fldCharType="begin"/>
        </w:r>
        <w:r w:rsidRPr="006C660F">
          <w:rPr>
            <w:rStyle w:val="PageNumber"/>
            <w:rFonts w:asciiTheme="minorHAnsi" w:hAnsiTheme="minorHAnsi" w:cstheme="minorHAnsi"/>
          </w:rPr>
          <w:instrText xml:space="preserve"> PAGE </w:instrText>
        </w:r>
        <w:r w:rsidRPr="006C660F">
          <w:rPr>
            <w:rStyle w:val="PageNumber"/>
            <w:rFonts w:asciiTheme="minorHAnsi" w:hAnsiTheme="minorHAnsi" w:cstheme="minorHAnsi"/>
          </w:rPr>
          <w:fldChar w:fldCharType="separate"/>
        </w:r>
        <w:r>
          <w:rPr>
            <w:rStyle w:val="PageNumber"/>
            <w:rFonts w:asciiTheme="minorHAnsi" w:hAnsiTheme="minorHAnsi" w:cstheme="minorHAnsi"/>
            <w:noProof/>
          </w:rPr>
          <w:t>11</w:t>
        </w:r>
        <w:r w:rsidRPr="006C660F">
          <w:rPr>
            <w:rStyle w:val="PageNumber"/>
            <w:rFonts w:asciiTheme="minorHAnsi" w:hAnsiTheme="minorHAnsi" w:cstheme="minorHAnsi"/>
          </w:rPr>
          <w:fldChar w:fldCharType="end"/>
        </w:r>
      </w:p>
    </w:sdtContent>
  </w:sdt>
  <w:p w14:paraId="78B2C816" w14:textId="77777777" w:rsidR="00AB3A74" w:rsidRDefault="00AB3A74" w:rsidP="008D7E6C">
    <w:pPr>
      <w:pStyle w:val="Footer"/>
      <w:jc w:val="right"/>
      <w:rPr>
        <w:noProof/>
      </w:rPr>
    </w:pPr>
    <w:r>
      <w:rPr>
        <w:noProof/>
      </w:rPr>
      <mc:AlternateContent>
        <mc:Choice Requires="wps">
          <w:drawing>
            <wp:anchor distT="0" distB="0" distL="114300" distR="114300" simplePos="0" relativeHeight="251672576" behindDoc="0" locked="0" layoutInCell="1" allowOverlap="1" wp14:anchorId="7A40C2AE" wp14:editId="217991D6">
              <wp:simplePos x="0" y="0"/>
              <wp:positionH relativeFrom="column">
                <wp:posOffset>-635</wp:posOffset>
              </wp:positionH>
              <wp:positionV relativeFrom="paragraph">
                <wp:posOffset>257175</wp:posOffset>
              </wp:positionV>
              <wp:extent cx="0" cy="226060"/>
              <wp:effectExtent l="12700" t="0" r="12700" b="15240"/>
              <wp:wrapNone/>
              <wp:docPr id="8" name="Straight Connector 8"/>
              <wp:cNvGraphicFramePr/>
              <a:graphic xmlns:a="http://schemas.openxmlformats.org/drawingml/2006/main">
                <a:graphicData uri="http://schemas.microsoft.com/office/word/2010/wordprocessingShape">
                  <wps:wsp>
                    <wps:cNvCnPr/>
                    <wps:spPr>
                      <a:xfrm>
                        <a:off x="0" y="0"/>
                        <a:ext cx="0" cy="226060"/>
                      </a:xfrm>
                      <a:prstGeom prst="line">
                        <a:avLst/>
                      </a:prstGeom>
                      <a:ln w="25400">
                        <a:solidFill>
                          <a:srgbClr val="1C569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693999F">
            <v:line id="Straight Connector 8"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1c569a" strokeweight="2pt" from="-.05pt,20.25pt" to="-.05pt,38.05pt" w14:anchorId="744356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">
              <v:stroke joinstyle="miter"/>
            </v:line>
          </w:pict>
        </mc:Fallback>
      </mc:AlternateContent>
    </w:r>
    <w:r>
      <w:rPr>
        <w:noProof/>
      </w:rPr>
      <mc:AlternateContent>
        <mc:Choice Requires="wps">
          <w:drawing>
            <wp:anchor distT="0" distB="0" distL="114300" distR="114300" simplePos="0" relativeHeight="251673600" behindDoc="0" locked="0" layoutInCell="1" allowOverlap="1" wp14:anchorId="4FDC85B3" wp14:editId="5A01FE64">
              <wp:simplePos x="0" y="0"/>
              <wp:positionH relativeFrom="column">
                <wp:posOffset>1270</wp:posOffset>
              </wp:positionH>
              <wp:positionV relativeFrom="paragraph">
                <wp:posOffset>38947</wp:posOffset>
              </wp:positionV>
              <wp:extent cx="0" cy="226060"/>
              <wp:effectExtent l="12700" t="0" r="12700" b="15240"/>
              <wp:wrapNone/>
              <wp:docPr id="9" name="Straight Connector 9"/>
              <wp:cNvGraphicFramePr/>
              <a:graphic xmlns:a="http://schemas.openxmlformats.org/drawingml/2006/main">
                <a:graphicData uri="http://schemas.microsoft.com/office/word/2010/wordprocessingShape">
                  <wps:wsp>
                    <wps:cNvCnPr/>
                    <wps:spPr>
                      <a:xfrm>
                        <a:off x="0" y="0"/>
                        <a:ext cx="0" cy="226060"/>
                      </a:xfrm>
                      <a:prstGeom prst="line">
                        <a:avLst/>
                      </a:prstGeom>
                      <a:ln w="25400">
                        <a:solidFill>
                          <a:srgbClr val="35A59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079AFD4">
            <v:line id="Straight Connector 9"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35a59a" strokeweight="2pt" from=".1pt,3.05pt" to=".1pt,20.85pt" w14:anchorId="3F517D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">
              <v:stroke joinstyle="miter"/>
            </v:line>
          </w:pict>
        </mc:Fallback>
      </mc:AlternateContent>
    </w:r>
    <w:hyperlink r:id="rId1" w:history="1">
      <w:r w:rsidRPr="008D7E6C">
        <w:rPr>
          <w:rStyle w:val="Hyperlink"/>
          <w:noProof/>
        </w:rPr>
        <w:t>www.ideadata.org</w:t>
      </w:r>
    </w:hyperlink>
  </w:p>
  <w:p w14:paraId="7DB2E8CD" w14:textId="77777777" w:rsidR="00AB3A74" w:rsidRDefault="00AB3A74" w:rsidP="005467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840"/>
      <w:gridCol w:w="3840"/>
      <w:gridCol w:w="3840"/>
    </w:tblGrid>
    <w:tr w:rsidR="47038A1D" w14:paraId="2F80DB77" w14:textId="77777777" w:rsidTr="47038A1D">
      <w:tc>
        <w:tcPr>
          <w:tcW w:w="3840" w:type="dxa"/>
        </w:tcPr>
        <w:p w14:paraId="1D4E0DD9" w14:textId="3AB77311" w:rsidR="47038A1D" w:rsidRDefault="47038A1D" w:rsidP="47038A1D">
          <w:pPr>
            <w:pStyle w:val="Header"/>
            <w:ind w:left="-115"/>
            <w:rPr>
              <w:rFonts w:eastAsia="Calibri"/>
              <w:szCs w:val="20"/>
            </w:rPr>
          </w:pPr>
        </w:p>
      </w:tc>
      <w:tc>
        <w:tcPr>
          <w:tcW w:w="3840" w:type="dxa"/>
        </w:tcPr>
        <w:p w14:paraId="322F1B66" w14:textId="32176B78" w:rsidR="47038A1D" w:rsidRDefault="47038A1D" w:rsidP="47038A1D">
          <w:pPr>
            <w:pStyle w:val="Header"/>
            <w:jc w:val="center"/>
            <w:rPr>
              <w:rFonts w:eastAsia="Calibri"/>
              <w:szCs w:val="20"/>
            </w:rPr>
          </w:pPr>
        </w:p>
      </w:tc>
      <w:tc>
        <w:tcPr>
          <w:tcW w:w="3840" w:type="dxa"/>
        </w:tcPr>
        <w:p w14:paraId="3DF9CF26" w14:textId="38FBE334" w:rsidR="47038A1D" w:rsidRDefault="47038A1D" w:rsidP="47038A1D">
          <w:pPr>
            <w:pStyle w:val="Header"/>
            <w:ind w:right="-115"/>
            <w:jc w:val="right"/>
            <w:rPr>
              <w:rFonts w:eastAsia="Calibri"/>
              <w:szCs w:val="20"/>
            </w:rPr>
          </w:pPr>
        </w:p>
      </w:tc>
    </w:tr>
  </w:tbl>
  <w:p w14:paraId="0CC7E99A" w14:textId="107DE1C9" w:rsidR="47038A1D" w:rsidRDefault="47038A1D" w:rsidP="47038A1D">
    <w:pPr>
      <w:pStyle w:val="Footer"/>
      <w:rPr>
        <w:rFonts w:eastAsia="Calibri"/>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6AC6A" w14:textId="77777777" w:rsidR="00AB3A74" w:rsidRDefault="00AB3A7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ED1DB" w14:textId="77777777" w:rsidR="00AB3A74" w:rsidRDefault="00AB3A7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C6A4F" w14:textId="69156131" w:rsidR="00AB3A74" w:rsidRPr="002F7C20" w:rsidRDefault="00AF09F3" w:rsidP="00AB3A74">
    <w:pPr>
      <w:tabs>
        <w:tab w:val="right" w:pos="9360"/>
      </w:tabs>
      <w:autoSpaceDE w:val="0"/>
      <w:autoSpaceDN w:val="0"/>
      <w:adjustRightInd w:val="0"/>
      <w:spacing w:after="0" w:line="240" w:lineRule="atLeast"/>
      <w:textAlignment w:val="center"/>
      <w:rPr>
        <w:rStyle w:val="Hyperlink"/>
        <w:rFonts w:ascii="Calibri" w:hAnsi="Calibri" w:cs="Calibri"/>
        <w:color w:val="000000" w:themeColor="text1"/>
        <w:szCs w:val="21"/>
      </w:rPr>
    </w:pPr>
    <w:hyperlink r:id="rId1" w:tooltip="IDEA Data website" w:history="1">
      <w:r w:rsidR="00AB3A74" w:rsidRPr="002F7C20">
        <w:rPr>
          <w:rStyle w:val="Hyperlink"/>
          <w:rFonts w:ascii="Calibri" w:hAnsi="Calibri" w:cs="Calibri"/>
          <w:color w:val="0563C1"/>
          <w:szCs w:val="21"/>
        </w:rPr>
        <w:t>w</w:t>
      </w:r>
      <w:r w:rsidR="00AB3A74" w:rsidRPr="00B17B12">
        <w:rPr>
          <w:rStyle w:val="Hyperlink"/>
          <w:rFonts w:ascii="Calibri" w:hAnsi="Calibri" w:cs="Calibri"/>
          <w:color w:val="0563C1"/>
          <w:szCs w:val="21"/>
        </w:rPr>
        <w:t>ww.idea</w:t>
      </w:r>
      <w:r w:rsidR="00AB3A74" w:rsidRPr="002F7C20">
        <w:rPr>
          <w:rStyle w:val="Hyperlink"/>
          <w:rFonts w:ascii="Calibri" w:hAnsi="Calibri" w:cs="Calibri"/>
          <w:color w:val="0563C1"/>
          <w:szCs w:val="21"/>
        </w:rPr>
        <w:t>data.org</w:t>
      </w:r>
    </w:hyperlink>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9408B" w14:textId="0CAB5A2B" w:rsidR="00AB3A74" w:rsidRPr="002F7C20" w:rsidRDefault="00AF09F3" w:rsidP="002F7C20">
    <w:pPr>
      <w:tabs>
        <w:tab w:val="right" w:pos="9360"/>
      </w:tabs>
      <w:autoSpaceDE w:val="0"/>
      <w:autoSpaceDN w:val="0"/>
      <w:adjustRightInd w:val="0"/>
      <w:spacing w:after="0" w:line="240" w:lineRule="atLeast"/>
      <w:textAlignment w:val="center"/>
      <w:rPr>
        <w:rStyle w:val="Hyperlink"/>
        <w:rFonts w:ascii="Calibri" w:hAnsi="Calibri" w:cs="Calibri"/>
        <w:color w:val="000000" w:themeColor="text1"/>
        <w:szCs w:val="21"/>
      </w:rPr>
    </w:pPr>
    <w:hyperlink r:id="rId1" w:tooltip="IDEA Data website" w:history="1">
      <w:r w:rsidR="00AB3A74" w:rsidRPr="002F7C20">
        <w:rPr>
          <w:rStyle w:val="Hyperlink"/>
          <w:rFonts w:ascii="Calibri" w:hAnsi="Calibri" w:cs="Calibri"/>
          <w:color w:val="0563C1"/>
          <w:szCs w:val="21"/>
        </w:rPr>
        <w:t>w</w:t>
      </w:r>
      <w:r w:rsidR="00AB3A74" w:rsidRPr="00E42F22">
        <w:rPr>
          <w:rStyle w:val="Hyperlink"/>
          <w:rFonts w:ascii="Calibri" w:hAnsi="Calibri" w:cs="Calibri"/>
          <w:color w:val="0563C1"/>
          <w:szCs w:val="21"/>
        </w:rPr>
        <w:t>ww.ideadata.org</w:t>
      </w:r>
    </w:hyperlink>
    <w:r w:rsidR="00AB3A74" w:rsidRPr="002F7C20">
      <w:rPr>
        <w:rStyle w:val="Hyperlink"/>
        <w:rFonts w:ascii="Calibri" w:hAnsi="Calibri" w:cs="Calibri"/>
        <w:color w:val="0563C1"/>
        <w:szCs w:val="21"/>
        <w:u w:val="none"/>
      </w:rPr>
      <w:tab/>
    </w:r>
    <w:r w:rsidR="00AB3A74" w:rsidRPr="00EC56A8">
      <w:rPr>
        <w:rStyle w:val="Hyperlink"/>
        <w:rFonts w:ascii="Calibri" w:hAnsi="Calibri" w:cs="Calibri"/>
        <w:color w:val="000000" w:themeColor="text1"/>
        <w:szCs w:val="21"/>
        <w:u w:val="none"/>
      </w:rPr>
      <w:fldChar w:fldCharType="begin"/>
    </w:r>
    <w:r w:rsidR="00AB3A74" w:rsidRPr="00EC56A8">
      <w:rPr>
        <w:rStyle w:val="Hyperlink"/>
        <w:rFonts w:ascii="Calibri" w:hAnsi="Calibri" w:cs="Calibri"/>
        <w:color w:val="000000" w:themeColor="text1"/>
        <w:szCs w:val="21"/>
        <w:u w:val="none"/>
      </w:rPr>
      <w:instrText xml:space="preserve"> PAGE   \* MERGEFORMAT </w:instrText>
    </w:r>
    <w:r w:rsidR="00AB3A74" w:rsidRPr="00EC56A8">
      <w:rPr>
        <w:rStyle w:val="Hyperlink"/>
        <w:rFonts w:ascii="Calibri" w:hAnsi="Calibri" w:cs="Calibri"/>
        <w:color w:val="000000" w:themeColor="text1"/>
        <w:szCs w:val="21"/>
        <w:u w:val="none"/>
      </w:rPr>
      <w:fldChar w:fldCharType="separate"/>
    </w:r>
    <w:r w:rsidR="00565B63">
      <w:rPr>
        <w:rStyle w:val="Hyperlink"/>
        <w:rFonts w:ascii="Calibri" w:hAnsi="Calibri" w:cs="Calibri"/>
        <w:noProof/>
        <w:color w:val="000000" w:themeColor="text1"/>
        <w:szCs w:val="21"/>
        <w:u w:val="none"/>
      </w:rPr>
      <w:t>14</w:t>
    </w:r>
    <w:r w:rsidR="00AB3A74" w:rsidRPr="00EC56A8">
      <w:rPr>
        <w:rStyle w:val="Hyperlink"/>
        <w:rFonts w:ascii="Calibri" w:hAnsi="Calibri" w:cs="Calibri"/>
        <w:noProof/>
        <w:color w:val="000000" w:themeColor="text1"/>
        <w:szCs w:val="21"/>
        <w:u w:val="none"/>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5A260" w14:textId="0ED262E7" w:rsidR="008F2F3F" w:rsidRPr="002F7C20" w:rsidRDefault="00AF09F3" w:rsidP="00AB3A74">
    <w:pPr>
      <w:tabs>
        <w:tab w:val="right" w:pos="9360"/>
      </w:tabs>
      <w:autoSpaceDE w:val="0"/>
      <w:autoSpaceDN w:val="0"/>
      <w:adjustRightInd w:val="0"/>
      <w:spacing w:after="0" w:line="240" w:lineRule="atLeast"/>
      <w:textAlignment w:val="center"/>
      <w:rPr>
        <w:rStyle w:val="Hyperlink"/>
        <w:rFonts w:ascii="Calibri" w:hAnsi="Calibri" w:cs="Calibri"/>
        <w:color w:val="000000" w:themeColor="text1"/>
        <w:szCs w:val="21"/>
      </w:rPr>
    </w:pPr>
    <w:hyperlink r:id="rId1" w:tooltip="IDEA Data website" w:history="1">
      <w:r w:rsidR="008F2F3F" w:rsidRPr="002F7C20">
        <w:rPr>
          <w:rStyle w:val="Hyperlink"/>
          <w:rFonts w:ascii="Calibri" w:hAnsi="Calibri" w:cs="Calibri"/>
          <w:color w:val="0563C1"/>
          <w:szCs w:val="21"/>
        </w:rPr>
        <w:t>w</w:t>
      </w:r>
      <w:r w:rsidR="008F2F3F" w:rsidRPr="00B17B12">
        <w:rPr>
          <w:rStyle w:val="Hyperlink"/>
          <w:rFonts w:ascii="Calibri" w:hAnsi="Calibri" w:cs="Calibri"/>
          <w:color w:val="0563C1"/>
          <w:szCs w:val="21"/>
        </w:rPr>
        <w:t>ww.idea</w:t>
      </w:r>
      <w:r w:rsidR="008F2F3F" w:rsidRPr="002F7C20">
        <w:rPr>
          <w:rStyle w:val="Hyperlink"/>
          <w:rFonts w:ascii="Calibri" w:hAnsi="Calibri" w:cs="Calibri"/>
          <w:color w:val="0563C1"/>
          <w:szCs w:val="21"/>
        </w:rPr>
        <w:t>data.org</w:t>
      </w:r>
    </w:hyperlink>
    <w:r w:rsidR="008F2F3F">
      <w:rPr>
        <w:rStyle w:val="Hyperlink"/>
        <w:rFonts w:ascii="Calibri" w:hAnsi="Calibri" w:cs="Calibri"/>
        <w:color w:val="0563C1"/>
        <w:szCs w:val="21"/>
        <w:u w:val="none"/>
      </w:rPr>
      <w:tab/>
    </w:r>
    <w:r w:rsidR="008F2F3F" w:rsidRPr="00EC56A8">
      <w:rPr>
        <w:rStyle w:val="Hyperlink"/>
        <w:rFonts w:ascii="Calibri" w:hAnsi="Calibri" w:cs="Calibri"/>
        <w:color w:val="000000" w:themeColor="text1"/>
        <w:szCs w:val="21"/>
        <w:u w:val="none"/>
      </w:rPr>
      <w:fldChar w:fldCharType="begin"/>
    </w:r>
    <w:r w:rsidR="008F2F3F" w:rsidRPr="00EC56A8">
      <w:rPr>
        <w:rStyle w:val="Hyperlink"/>
        <w:rFonts w:ascii="Calibri" w:hAnsi="Calibri" w:cs="Calibri"/>
        <w:color w:val="000000" w:themeColor="text1"/>
        <w:szCs w:val="21"/>
        <w:u w:val="none"/>
      </w:rPr>
      <w:instrText xml:space="preserve"> PAGE   \* MERGEFORMAT </w:instrText>
    </w:r>
    <w:r w:rsidR="008F2F3F" w:rsidRPr="00EC56A8">
      <w:rPr>
        <w:rStyle w:val="Hyperlink"/>
        <w:rFonts w:ascii="Calibri" w:hAnsi="Calibri" w:cs="Calibri"/>
        <w:color w:val="000000" w:themeColor="text1"/>
        <w:szCs w:val="21"/>
        <w:u w:val="none"/>
      </w:rPr>
      <w:fldChar w:fldCharType="separate"/>
    </w:r>
    <w:r w:rsidR="00565B63">
      <w:rPr>
        <w:rStyle w:val="Hyperlink"/>
        <w:rFonts w:ascii="Calibri" w:hAnsi="Calibri" w:cs="Calibri"/>
        <w:noProof/>
        <w:color w:val="000000" w:themeColor="text1"/>
        <w:szCs w:val="21"/>
        <w:u w:val="none"/>
      </w:rPr>
      <w:t>9</w:t>
    </w:r>
    <w:r w:rsidR="008F2F3F" w:rsidRPr="00EC56A8">
      <w:rPr>
        <w:rStyle w:val="Hyperlink"/>
        <w:rFonts w:ascii="Calibri" w:hAnsi="Calibri" w:cs="Calibri"/>
        <w:noProof/>
        <w:color w:val="000000" w:themeColor="text1"/>
        <w:szCs w:val="21"/>
        <w:u w:val="non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38929" w14:textId="77777777" w:rsidR="00AF09F3" w:rsidRDefault="00AF09F3" w:rsidP="00546719">
      <w:r>
        <w:separator/>
      </w:r>
    </w:p>
  </w:footnote>
  <w:footnote w:type="continuationSeparator" w:id="0">
    <w:p w14:paraId="30D08A6C" w14:textId="77777777" w:rsidR="00AF09F3" w:rsidRDefault="00AF09F3" w:rsidP="00546719">
      <w:r>
        <w:continuationSeparator/>
      </w:r>
    </w:p>
  </w:footnote>
  <w:footnote w:id="1">
    <w:p w14:paraId="22DD1999" w14:textId="70286644" w:rsidR="0090319D" w:rsidRDefault="0090319D">
      <w:pPr>
        <w:pStyle w:val="FootnoteText"/>
      </w:pPr>
      <w:r>
        <w:rPr>
          <w:rStyle w:val="FootnoteReference"/>
        </w:rPr>
        <w:footnoteRef/>
      </w:r>
      <w:r>
        <w:t xml:space="preserve"> States were</w:t>
      </w:r>
      <w:r w:rsidR="00ED0492">
        <w:t xml:space="preserve"> included</w:t>
      </w:r>
      <w:r w:rsidRPr="0090319D">
        <w:t xml:space="preserve"> based </w:t>
      </w:r>
      <w:r w:rsidR="00ED0492">
        <w:t xml:space="preserve">on </w:t>
      </w:r>
      <w:r>
        <w:t xml:space="preserve">whether their LEA determinations processes were publicly </w:t>
      </w:r>
      <w:r w:rsidR="00CD0332">
        <w:t>available,</w:t>
      </w:r>
      <w:r>
        <w:t xml:space="preserve"> and</w:t>
      </w:r>
      <w:r w:rsidR="00602D88">
        <w:t>,</w:t>
      </w:r>
      <w:r>
        <w:t xml:space="preserve"> </w:t>
      </w:r>
      <w:r w:rsidR="00ED0492">
        <w:t xml:space="preserve">therefore, we did not intend for </w:t>
      </w:r>
      <w:r w:rsidR="00CD0332">
        <w:t xml:space="preserve">these 28 states </w:t>
      </w:r>
      <w:r w:rsidR="00602D88">
        <w:t>to be</w:t>
      </w:r>
      <w:r>
        <w:t xml:space="preserve"> </w:t>
      </w:r>
      <w:r w:rsidRPr="0090319D">
        <w:t xml:space="preserve">a representative </w:t>
      </w:r>
      <w:r>
        <w:t>sample of all states and territories</w:t>
      </w:r>
      <w:r w:rsidR="00CD0332">
        <w:t xml:space="preserve">. </w:t>
      </w:r>
      <w:r w:rsidR="00602D88">
        <w:t>Readers should not consider t</w:t>
      </w:r>
      <w:r w:rsidR="009C2406">
        <w:t>he findings we present generalizable to all states.</w:t>
      </w:r>
    </w:p>
  </w:footnote>
  <w:footnote w:id="2">
    <w:p w14:paraId="1EAD8EDA" w14:textId="3044AD85" w:rsidR="00AB3A74" w:rsidRPr="002F46D3" w:rsidRDefault="00AB3A74" w:rsidP="002F46D3">
      <w:pPr>
        <w:pStyle w:val="FootnoteText"/>
        <w:rPr>
          <w:i/>
          <w:iCs/>
        </w:rPr>
      </w:pPr>
      <w:r w:rsidRPr="002F46D3">
        <w:rPr>
          <w:rStyle w:val="FootnoteReference"/>
        </w:rPr>
        <w:footnoteRef/>
      </w:r>
      <w:r w:rsidRPr="002F46D3">
        <w:t xml:space="preserve"> Definitions of these compliance indicators </w:t>
      </w:r>
      <w:r w:rsidRPr="002F46D3">
        <w:t xml:space="preserve">can be found in </w:t>
      </w:r>
      <w:hyperlink r:id="rId1" w:history="1">
        <w:r w:rsidRPr="002F46D3">
          <w:rPr>
            <w:rStyle w:val="Hyperlink"/>
            <w:i/>
            <w:iCs/>
            <w:sz w:val="18"/>
          </w:rPr>
          <w:t>Part B State Performance Plan (SPP) and Annual Performance Report (APR) Part B Indicator Measurement Table: For Federal Fiscal Year (FFY) 2020 Submission</w:t>
        </w:r>
      </w:hyperlink>
      <w:r w:rsidRPr="002F46D3">
        <w:rPr>
          <w:iCs/>
          <w:color w:val="455A64"/>
        </w:rPr>
        <w:t xml:space="preserve">. </w:t>
      </w:r>
    </w:p>
  </w:footnote>
  <w:footnote w:id="3">
    <w:p w14:paraId="5132B12B" w14:textId="06CD0F2A" w:rsidR="00AB3A74" w:rsidRPr="002F46D3" w:rsidRDefault="00AB3A74" w:rsidP="002F46D3">
      <w:pPr>
        <w:pStyle w:val="FootnoteText"/>
      </w:pPr>
      <w:r w:rsidRPr="002F46D3">
        <w:rPr>
          <w:rStyle w:val="FootnoteReference"/>
        </w:rPr>
        <w:footnoteRef/>
      </w:r>
      <w:r w:rsidRPr="002F46D3">
        <w:t xml:space="preserve"> Based on the information publicly available, two of the 28 states noted use of compliance data but did not specify which SPP/APR indicators they used. The remaining 26 states provided details about the SPP/APR indicators they used in their LEA determinations.</w:t>
      </w:r>
    </w:p>
  </w:footnote>
  <w:footnote w:id="4">
    <w:p w14:paraId="4A0E571B" w14:textId="03967193" w:rsidR="00AB3A74" w:rsidRPr="002F46D3" w:rsidRDefault="00AB3A74" w:rsidP="002F46D3">
      <w:pPr>
        <w:pStyle w:val="FootnoteText"/>
      </w:pPr>
      <w:r w:rsidRPr="002F46D3">
        <w:rPr>
          <w:rStyle w:val="FootnoteReference"/>
        </w:rPr>
        <w:footnoteRef/>
      </w:r>
      <w:r w:rsidRPr="002F46D3">
        <w:t xml:space="preserve"> Definitions of these results indicators </w:t>
      </w:r>
      <w:r w:rsidRPr="002F46D3">
        <w:t>can be found in</w:t>
      </w:r>
      <w:r w:rsidRPr="002F46D3">
        <w:rPr>
          <w:color w:val="455A64"/>
        </w:rPr>
        <w:t xml:space="preserve"> </w:t>
      </w:r>
      <w:hyperlink r:id="rId2" w:history="1">
        <w:r w:rsidRPr="002F46D3">
          <w:rPr>
            <w:rStyle w:val="Hyperlink"/>
            <w:i/>
            <w:iCs/>
            <w:sz w:val="18"/>
          </w:rPr>
          <w:t>Part B State Performance Plan (SPP) and Annual Performance Report (APR) Part B Indicator Measurement Table: For Federal Fiscal Year (FFY) 2020 Submission</w:t>
        </w:r>
      </w:hyperlink>
      <w:r w:rsidRPr="002F46D3">
        <w:rPr>
          <w:i/>
          <w:iCs/>
          <w:color w:val="455A64"/>
        </w:rPr>
        <w:t>.</w:t>
      </w:r>
    </w:p>
  </w:footnote>
  <w:footnote w:id="5">
    <w:p w14:paraId="180DFAC4" w14:textId="64ECD95F" w:rsidR="00B1116B" w:rsidRDefault="00B1116B">
      <w:pPr>
        <w:pStyle w:val="FootnoteText"/>
      </w:pPr>
      <w:r>
        <w:rPr>
          <w:rStyle w:val="FootnoteReference"/>
        </w:rPr>
        <w:footnoteRef/>
      </w:r>
      <w:r>
        <w:t xml:space="preserve"> </w:t>
      </w:r>
      <w:r w:rsidR="00573EBE">
        <w:t>IDC retrieved the d</w:t>
      </w:r>
      <w:r w:rsidR="00C523B4">
        <w:t>ata for this analysis prior</w:t>
      </w:r>
      <w:r w:rsidR="00D34AD1">
        <w:t xml:space="preserve"> to the release of the FFY 2020–</w:t>
      </w:r>
      <w:r w:rsidR="00C523B4">
        <w:t>2025</w:t>
      </w:r>
      <w:r w:rsidR="00BA783C">
        <w:t xml:space="preserve"> </w:t>
      </w:r>
      <w:r w:rsidR="00FF217F">
        <w:t xml:space="preserve">Part B SPP/APR collection. At the time of this analysis, Indicator 3B </w:t>
      </w:r>
      <w:r w:rsidR="00FF217F">
        <w:t xml:space="preserve">was defined as the participation rate for children with IEPs on statewide assessments. </w:t>
      </w:r>
    </w:p>
  </w:footnote>
  <w:footnote w:id="6">
    <w:p w14:paraId="09440497" w14:textId="69906B71" w:rsidR="00FF217F" w:rsidRDefault="00FF217F">
      <w:pPr>
        <w:pStyle w:val="FootnoteText"/>
      </w:pPr>
      <w:r>
        <w:rPr>
          <w:rStyle w:val="FootnoteReference"/>
        </w:rPr>
        <w:footnoteRef/>
      </w:r>
      <w:r>
        <w:t xml:space="preserve"> </w:t>
      </w:r>
      <w:r w:rsidR="00573EBE">
        <w:t xml:space="preserve">IDC retrieved the data for this analysis prior to the </w:t>
      </w:r>
      <w:r>
        <w:t>release of the FFY 2020</w:t>
      </w:r>
      <w:r w:rsidR="00D34AD1">
        <w:t>–</w:t>
      </w:r>
      <w:r>
        <w:t xml:space="preserve">2025 Part B SPP/APR collection. At the time of this analysis, Indicator 3C </w:t>
      </w:r>
      <w:r>
        <w:t>was defined as the proficiency rate for children with IEPs against grade level and alternate academic achievement standards on statewide assessments.</w:t>
      </w:r>
    </w:p>
  </w:footnote>
  <w:footnote w:id="7">
    <w:p w14:paraId="47C6167E" w14:textId="5FA8AB78" w:rsidR="00FF217F" w:rsidRDefault="00FF217F">
      <w:pPr>
        <w:pStyle w:val="FootnoteText"/>
      </w:pPr>
      <w:r>
        <w:rPr>
          <w:rStyle w:val="FootnoteReference"/>
        </w:rPr>
        <w:footnoteRef/>
      </w:r>
      <w:r>
        <w:t xml:space="preserve"> </w:t>
      </w:r>
      <w:r w:rsidR="00573EBE">
        <w:t xml:space="preserve">IDC retrieved the data for this analysis prior to the </w:t>
      </w:r>
      <w:r w:rsidR="00D34AD1">
        <w:t>release of the FFY 2020–</w:t>
      </w:r>
      <w:r>
        <w:t xml:space="preserve">2025 Part B SPP/APR collection. At the time of this analysis, Indicator 6C (percent of children </w:t>
      </w:r>
      <w:r w:rsidR="00D34AD1">
        <w:t>ages</w:t>
      </w:r>
      <w:r>
        <w:t xml:space="preserve"> 3, 4, and 5 </w:t>
      </w:r>
      <w:r w:rsidR="00D34AD1">
        <w:t xml:space="preserve">with IEPs </w:t>
      </w:r>
      <w:r>
        <w:t xml:space="preserve">receiving special education and related services in the home) did not exist. </w:t>
      </w:r>
    </w:p>
  </w:footnote>
  <w:footnote w:id="8">
    <w:p w14:paraId="3F55653E" w14:textId="2690E31D" w:rsidR="00AB3A74" w:rsidRDefault="00AB3A74" w:rsidP="002F46D3">
      <w:pPr>
        <w:pStyle w:val="FootnoteText"/>
      </w:pPr>
      <w:r w:rsidRPr="00413A02">
        <w:rPr>
          <w:rStyle w:val="FootnoteReference"/>
          <w:color w:val="455A64"/>
        </w:rPr>
        <w:footnoteRef/>
      </w:r>
      <w:r w:rsidRPr="00413A02">
        <w:t xml:space="preserve"> </w:t>
      </w:r>
      <w:r>
        <w:t xml:space="preserve">Five states used </w:t>
      </w:r>
      <w:r>
        <w:t>t</w:t>
      </w:r>
      <w:r w:rsidRPr="000115ED">
        <w:t xml:space="preserve">his LEA determination </w:t>
      </w:r>
      <w:r>
        <w:t xml:space="preserve">category </w:t>
      </w:r>
      <w:r w:rsidRPr="000115ED">
        <w:t xml:space="preserve">criteria for the determination categories of </w:t>
      </w:r>
      <w:r w:rsidRPr="00413A02">
        <w:rPr>
          <w:i/>
          <w:iCs/>
        </w:rPr>
        <w:t>meets requirements</w:t>
      </w:r>
      <w:r w:rsidRPr="000115ED">
        <w:t xml:space="preserve"> and </w:t>
      </w:r>
      <w:r w:rsidRPr="00413A02">
        <w:rPr>
          <w:i/>
          <w:iCs/>
        </w:rPr>
        <w:t>needs assistance</w:t>
      </w:r>
      <w:r w:rsidRPr="00BA505D">
        <w:rPr>
          <w:iCs/>
        </w:rPr>
        <w:t>,</w:t>
      </w:r>
      <w:r w:rsidRPr="00413A02">
        <w:rPr>
          <w:i/>
          <w:iCs/>
        </w:rPr>
        <w:t xml:space="preserve"> </w:t>
      </w:r>
      <w:r w:rsidRPr="000115ED">
        <w:t>and four states</w:t>
      </w:r>
      <w:r>
        <w:t xml:space="preserve"> used it</w:t>
      </w:r>
      <w:r w:rsidRPr="000115ED">
        <w:t xml:space="preserve"> for the determination categories of </w:t>
      </w:r>
      <w:r w:rsidRPr="00413A02">
        <w:rPr>
          <w:i/>
          <w:iCs/>
        </w:rPr>
        <w:t>needs intervention</w:t>
      </w:r>
      <w:r w:rsidRPr="000115ED">
        <w:t xml:space="preserve"> and </w:t>
      </w:r>
      <w:r w:rsidRPr="00413A02">
        <w:rPr>
          <w:i/>
          <w:iCs/>
        </w:rPr>
        <w:t>needs substantial intervention</w:t>
      </w:r>
      <w:r w:rsidRPr="000115ED">
        <w:t>.</w:t>
      </w:r>
    </w:p>
  </w:footnote>
  <w:footnote w:id="9">
    <w:p w14:paraId="513DE290" w14:textId="191A0551" w:rsidR="00AB3A74" w:rsidRDefault="00AB3A74" w:rsidP="002F46D3">
      <w:pPr>
        <w:pStyle w:val="FootnoteText"/>
      </w:pPr>
      <w:r w:rsidRPr="00413A02">
        <w:rPr>
          <w:rStyle w:val="FootnoteReference"/>
          <w:color w:val="455A64"/>
        </w:rPr>
        <w:footnoteRef/>
      </w:r>
      <w:r w:rsidRPr="00413A02">
        <w:t xml:space="preserve"> </w:t>
      </w:r>
      <w:r>
        <w:t xml:space="preserve">Eight states used </w:t>
      </w:r>
      <w:r>
        <w:t>t</w:t>
      </w:r>
      <w:r w:rsidRPr="00413A02">
        <w:t xml:space="preserve">his LEA determination </w:t>
      </w:r>
      <w:r>
        <w:t xml:space="preserve">category </w:t>
      </w:r>
      <w:r w:rsidRPr="00413A02">
        <w:t xml:space="preserve">criteria for the determination category of </w:t>
      </w:r>
      <w:r w:rsidRPr="00413A02">
        <w:rPr>
          <w:i/>
          <w:iCs/>
        </w:rPr>
        <w:t>meets requirements</w:t>
      </w:r>
      <w:r w:rsidRPr="00F8308E">
        <w:t>,</w:t>
      </w:r>
      <w:r w:rsidRPr="00413A02">
        <w:t xml:space="preserve"> nine states </w:t>
      </w:r>
      <w:r>
        <w:t xml:space="preserve">used it </w:t>
      </w:r>
      <w:r w:rsidRPr="00413A02">
        <w:t xml:space="preserve">for the determination categories of </w:t>
      </w:r>
      <w:r w:rsidRPr="00413A02">
        <w:rPr>
          <w:i/>
          <w:iCs/>
        </w:rPr>
        <w:t>needs assistance</w:t>
      </w:r>
      <w:r w:rsidRPr="00413A02">
        <w:t xml:space="preserve"> and </w:t>
      </w:r>
      <w:r w:rsidRPr="00413A02">
        <w:rPr>
          <w:i/>
          <w:iCs/>
        </w:rPr>
        <w:t>needs intervention</w:t>
      </w:r>
      <w:r w:rsidRPr="00413A02">
        <w:t xml:space="preserve">, and four states </w:t>
      </w:r>
      <w:r>
        <w:t xml:space="preserve">used it </w:t>
      </w:r>
      <w:r w:rsidRPr="00413A02">
        <w:t xml:space="preserve">for the determination category of </w:t>
      </w:r>
      <w:r w:rsidRPr="00413A02">
        <w:rPr>
          <w:i/>
          <w:iCs/>
        </w:rPr>
        <w:t>needs substantial intervention</w:t>
      </w:r>
      <w:r w:rsidRPr="00413A02">
        <w:t>.</w:t>
      </w:r>
    </w:p>
  </w:footnote>
  <w:footnote w:id="10">
    <w:p w14:paraId="534EAA76" w14:textId="4D7C0806" w:rsidR="00AB3A74" w:rsidRDefault="00AB3A74" w:rsidP="002F46D3">
      <w:pPr>
        <w:pStyle w:val="FootnoteText"/>
      </w:pPr>
      <w:r w:rsidRPr="00413A02">
        <w:rPr>
          <w:rStyle w:val="FootnoteReference"/>
          <w:color w:val="455A64"/>
        </w:rPr>
        <w:footnoteRef/>
      </w:r>
      <w:r w:rsidRPr="00413A02">
        <w:t xml:space="preserve"> </w:t>
      </w:r>
      <w:r>
        <w:t xml:space="preserve">Seven states used </w:t>
      </w:r>
      <w:r>
        <w:t>t</w:t>
      </w:r>
      <w:r w:rsidRPr="000115ED">
        <w:t>his LEA determination category</w:t>
      </w:r>
      <w:r>
        <w:t xml:space="preserve"> criteria</w:t>
      </w:r>
      <w:r w:rsidRPr="00413A02">
        <w:t xml:space="preserve"> for the determination categories of </w:t>
      </w:r>
      <w:r w:rsidRPr="00413A02">
        <w:rPr>
          <w:i/>
          <w:iCs/>
        </w:rPr>
        <w:t>meets requirements</w:t>
      </w:r>
      <w:r w:rsidRPr="00413A02">
        <w:t xml:space="preserve">, </w:t>
      </w:r>
      <w:r w:rsidRPr="00413A02">
        <w:rPr>
          <w:i/>
          <w:iCs/>
        </w:rPr>
        <w:t>needs assistance</w:t>
      </w:r>
      <w:r w:rsidRPr="00413A02">
        <w:t xml:space="preserve">, and </w:t>
      </w:r>
      <w:r w:rsidRPr="00413A02">
        <w:rPr>
          <w:i/>
          <w:iCs/>
        </w:rPr>
        <w:t>needs intervention</w:t>
      </w:r>
      <w:r>
        <w:rPr>
          <w:i/>
          <w:iCs/>
        </w:rPr>
        <w:t>,</w:t>
      </w:r>
      <w:r w:rsidRPr="00413A02">
        <w:t xml:space="preserve"> and six states </w:t>
      </w:r>
      <w:r>
        <w:t xml:space="preserve">used it </w:t>
      </w:r>
      <w:r w:rsidRPr="00413A02">
        <w:t xml:space="preserve">for the determination category of </w:t>
      </w:r>
      <w:r w:rsidRPr="00413A02">
        <w:rPr>
          <w:i/>
          <w:iCs/>
        </w:rPr>
        <w:t>needs substantial intervention</w:t>
      </w:r>
      <w:r w:rsidRPr="00413A02">
        <w:t>.</w:t>
      </w:r>
    </w:p>
  </w:footnote>
  <w:footnote w:id="11">
    <w:p w14:paraId="7FE578CD" w14:textId="59C27A64" w:rsidR="00AB3A74" w:rsidRDefault="00AB3A74" w:rsidP="002F46D3">
      <w:pPr>
        <w:pStyle w:val="FootnoteText"/>
      </w:pPr>
      <w:r w:rsidRPr="00413A02">
        <w:rPr>
          <w:rStyle w:val="FootnoteReference"/>
          <w:color w:val="455A64"/>
        </w:rPr>
        <w:footnoteRef/>
      </w:r>
      <w:r w:rsidRPr="00413A02">
        <w:t xml:space="preserve"> </w:t>
      </w:r>
      <w:r>
        <w:t xml:space="preserve">Seven states used </w:t>
      </w:r>
      <w:r>
        <w:t>t</w:t>
      </w:r>
      <w:r w:rsidRPr="000115ED">
        <w:t>his LEA determination category</w:t>
      </w:r>
      <w:r>
        <w:t xml:space="preserve"> criteria</w:t>
      </w:r>
      <w:r w:rsidRPr="002E3279">
        <w:t xml:space="preserve"> </w:t>
      </w:r>
      <w:r w:rsidRPr="00413A02">
        <w:t xml:space="preserve">for the determination category of </w:t>
      </w:r>
      <w:r w:rsidRPr="00413A02">
        <w:rPr>
          <w:i/>
          <w:iCs/>
        </w:rPr>
        <w:t>meets requirements</w:t>
      </w:r>
      <w:r w:rsidRPr="00413A02">
        <w:t>, six states</w:t>
      </w:r>
      <w:r>
        <w:t xml:space="preserve"> used it</w:t>
      </w:r>
      <w:r w:rsidRPr="00413A02">
        <w:t xml:space="preserve"> for the determination categories of </w:t>
      </w:r>
      <w:r w:rsidRPr="00413A02">
        <w:rPr>
          <w:i/>
          <w:iCs/>
        </w:rPr>
        <w:t>needs assistance</w:t>
      </w:r>
      <w:r w:rsidRPr="00413A02">
        <w:t xml:space="preserve"> and </w:t>
      </w:r>
      <w:r w:rsidRPr="00413A02">
        <w:rPr>
          <w:i/>
          <w:iCs/>
        </w:rPr>
        <w:t>needs intervention</w:t>
      </w:r>
      <w:r w:rsidRPr="00413A02">
        <w:t>, and 13 states</w:t>
      </w:r>
      <w:r>
        <w:t xml:space="preserve"> used it</w:t>
      </w:r>
      <w:r w:rsidRPr="00413A02">
        <w:t xml:space="preserve"> for the determination category of </w:t>
      </w:r>
      <w:r w:rsidRPr="00413A02">
        <w:rPr>
          <w:i/>
          <w:iCs/>
        </w:rPr>
        <w:t>needs substantial intervention</w:t>
      </w:r>
      <w:r w:rsidRPr="00413A02">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783AF" w14:textId="3252685B" w:rsidR="00AB3A74" w:rsidRDefault="00AB3A74" w:rsidP="00064B28">
    <w:pPr>
      <w:spacing w:line="14"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D3263" w14:textId="77777777" w:rsidR="00AB3A74" w:rsidRDefault="00AB3A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8986D" w14:textId="77777777" w:rsidR="00AB3A74" w:rsidRPr="001E3F62" w:rsidRDefault="00AB3A74" w:rsidP="002F7C20">
    <w:pPr>
      <w:pBdr>
        <w:bottom w:val="single" w:sz="4" w:space="9" w:color="0A0A0A"/>
      </w:pBdr>
      <w:tabs>
        <w:tab w:val="center" w:pos="4680"/>
        <w:tab w:val="right" w:pos="9360"/>
      </w:tabs>
      <w:spacing w:after="0"/>
      <w:rPr>
        <w:rFonts w:ascii="Calibri" w:eastAsia="Calibri" w:hAnsi="Calibri" w:cs="Calibri"/>
        <w:color w:val="0A0A0A"/>
        <w:sz w:val="16"/>
      </w:rPr>
    </w:pPr>
    <w:r w:rsidRPr="001E3F62">
      <w:rPr>
        <w:rFonts w:ascii="Calibri" w:eastAsia="Calibri" w:hAnsi="Calibri" w:cs="Calibri"/>
        <w:noProof/>
        <w:color w:val="0A0A0A"/>
        <w:sz w:val="16"/>
      </w:rPr>
      <w:drawing>
        <wp:anchor distT="0" distB="0" distL="114300" distR="114300" simplePos="0" relativeHeight="251680768" behindDoc="0" locked="0" layoutInCell="1" allowOverlap="1" wp14:anchorId="168C64F8" wp14:editId="230A29A1">
          <wp:simplePos x="0" y="0"/>
          <wp:positionH relativeFrom="margin">
            <wp:posOffset>5250180</wp:posOffset>
          </wp:positionH>
          <wp:positionV relativeFrom="margin">
            <wp:posOffset>-757168</wp:posOffset>
          </wp:positionV>
          <wp:extent cx="709930" cy="4572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DC-2019-Logo_boxonly.png"/>
                  <pic:cNvPicPr/>
                </pic:nvPicPr>
                <pic:blipFill>
                  <a:blip r:embed="rId1">
                    <a:extLst>
                      <a:ext uri="{28A0092B-C50C-407E-A947-70E740481C1C}">
                        <a14:useLocalDpi xmlns:a14="http://schemas.microsoft.com/office/drawing/2010/main" val="0"/>
                      </a:ext>
                    </a:extLst>
                  </a:blip>
                  <a:stretch>
                    <a:fillRect/>
                  </a:stretch>
                </pic:blipFill>
                <pic:spPr>
                  <a:xfrm>
                    <a:off x="0" y="0"/>
                    <a:ext cx="709930" cy="457200"/>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eastAsia="Calibri" w:hAnsiTheme="minorHAnsi" w:cstheme="minorHAnsi"/>
        <w:color w:val="000000" w:themeColor="text1"/>
        <w:sz w:val="16"/>
      </w:rPr>
      <w:t>State Determinations of Local Education Agency (LEA) Performance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0A15B" w14:textId="7600E6ED" w:rsidR="00AB3A74" w:rsidRPr="009E73B3" w:rsidRDefault="00AB3A74" w:rsidP="00AB3A74">
    <w:pPr>
      <w:spacing w:after="1080"/>
      <w:ind w:left="-720"/>
      <w:rPr>
        <w:rFonts w:eastAsia="Calibri" w:hAnsi="Calibri" w:cs="Calibri"/>
        <w:color w:val="262626"/>
        <w:sz w:val="16"/>
        <w:szCs w:val="21"/>
        <w:lang w:bidi="en-US"/>
      </w:rPr>
    </w:pPr>
    <w:r>
      <w:rPr>
        <w:rFonts w:eastAsia="Calibri" w:hAnsi="Calibri" w:cs="Calibri"/>
        <w:noProof/>
        <w:color w:val="262626"/>
        <w:sz w:val="16"/>
        <w:szCs w:val="21"/>
      </w:rPr>
      <w:drawing>
        <wp:inline distT="0" distB="0" distL="0" distR="0" wp14:anchorId="1D270AB1" wp14:editId="48F18ED2">
          <wp:extent cx="3402965" cy="469265"/>
          <wp:effectExtent l="0" t="0" r="6985"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02965" cy="469265"/>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0A107" w14:textId="10525D6F" w:rsidR="00AB3A74" w:rsidRPr="001E3F62" w:rsidRDefault="00AB3A74" w:rsidP="002F7C20">
    <w:pPr>
      <w:pBdr>
        <w:bottom w:val="single" w:sz="4" w:space="9" w:color="0A0A0A"/>
      </w:pBdr>
      <w:tabs>
        <w:tab w:val="center" w:pos="4680"/>
        <w:tab w:val="right" w:pos="9360"/>
      </w:tabs>
      <w:spacing w:after="0"/>
      <w:rPr>
        <w:rFonts w:ascii="Calibri" w:eastAsia="Calibri" w:hAnsi="Calibri" w:cs="Calibri"/>
        <w:color w:val="0A0A0A"/>
        <w:sz w:val="16"/>
      </w:rPr>
    </w:pPr>
    <w:r w:rsidRPr="001E3F62">
      <w:rPr>
        <w:rFonts w:ascii="Calibri" w:eastAsia="Calibri" w:hAnsi="Calibri" w:cs="Calibri"/>
        <w:noProof/>
        <w:color w:val="0A0A0A"/>
        <w:sz w:val="16"/>
      </w:rPr>
      <w:drawing>
        <wp:anchor distT="0" distB="0" distL="114300" distR="114300" simplePos="0" relativeHeight="251678720" behindDoc="0" locked="0" layoutInCell="1" allowOverlap="1" wp14:anchorId="1FDE7FC8" wp14:editId="4475C292">
          <wp:simplePos x="0" y="0"/>
          <wp:positionH relativeFrom="margin">
            <wp:posOffset>5250180</wp:posOffset>
          </wp:positionH>
          <wp:positionV relativeFrom="margin">
            <wp:posOffset>-757168</wp:posOffset>
          </wp:positionV>
          <wp:extent cx="709930" cy="45720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DC-2019-Logo_boxonly.png"/>
                  <pic:cNvPicPr/>
                </pic:nvPicPr>
                <pic:blipFill>
                  <a:blip r:embed="rId1">
                    <a:extLst>
                      <a:ext uri="{28A0092B-C50C-407E-A947-70E740481C1C}">
                        <a14:useLocalDpi xmlns:a14="http://schemas.microsoft.com/office/drawing/2010/main" val="0"/>
                      </a:ext>
                    </a:extLst>
                  </a:blip>
                  <a:stretch>
                    <a:fillRect/>
                  </a:stretch>
                </pic:blipFill>
                <pic:spPr>
                  <a:xfrm>
                    <a:off x="0" y="0"/>
                    <a:ext cx="709930" cy="457200"/>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eastAsia="Calibri" w:hAnsiTheme="minorHAnsi" w:cstheme="minorHAnsi"/>
        <w:color w:val="000000" w:themeColor="text1"/>
        <w:sz w:val="16"/>
      </w:rPr>
      <w:t>State Determinations of Local Education Agency (LEA) Performance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40C8AF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424E86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77E8FB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E44C04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77A25B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3F4C5D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44C79A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13A0E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A7284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DB00A1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5126F9"/>
    <w:multiLevelType w:val="hybridMultilevel"/>
    <w:tmpl w:val="D77E9314"/>
    <w:lvl w:ilvl="0" w:tplc="2996A4F0">
      <w:start w:val="1"/>
      <w:numFmt w:val="bullet"/>
      <w:lvlText w:val=""/>
      <w:lvlJc w:val="left"/>
      <w:pPr>
        <w:ind w:left="720" w:hanging="360"/>
      </w:pPr>
      <w:rPr>
        <w:rFonts w:ascii="Symbol" w:hAnsi="Symbol" w:hint="default"/>
      </w:rPr>
    </w:lvl>
    <w:lvl w:ilvl="1" w:tplc="58E4A8CC">
      <w:start w:val="1"/>
      <w:numFmt w:val="bullet"/>
      <w:lvlText w:val="o"/>
      <w:lvlJc w:val="left"/>
      <w:pPr>
        <w:ind w:left="1440" w:hanging="360"/>
      </w:pPr>
      <w:rPr>
        <w:rFonts w:ascii="Courier New" w:hAnsi="Courier New" w:hint="default"/>
        <w:color w:val="1C569A"/>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B51C21"/>
    <w:multiLevelType w:val="hybridMultilevel"/>
    <w:tmpl w:val="B7945CE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CDD2C56"/>
    <w:multiLevelType w:val="hybridMultilevel"/>
    <w:tmpl w:val="9D26374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D4373EC"/>
    <w:multiLevelType w:val="hybridMultilevel"/>
    <w:tmpl w:val="F4F4DBA8"/>
    <w:lvl w:ilvl="0" w:tplc="65366576">
      <w:start w:val="1"/>
      <w:numFmt w:val="bullet"/>
      <w:pStyle w:val="N4-4thBullet"/>
      <w:lvlText w:val=""/>
      <w:lvlJc w:val="left"/>
      <w:pPr>
        <w:ind w:left="3600" w:hanging="360"/>
      </w:pPr>
      <w:rPr>
        <w:rFonts w:ascii="Symbol" w:hAnsi="Symbol" w:hint="default"/>
        <w:color w:val="26847A"/>
        <w:sz w:val="21"/>
        <w:szCs w:val="21"/>
      </w:rPr>
    </w:lvl>
    <w:lvl w:ilvl="1" w:tplc="FF4EE216">
      <w:start w:val="1"/>
      <w:numFmt w:val="bullet"/>
      <w:lvlText w:val="o"/>
      <w:lvlJc w:val="left"/>
      <w:pPr>
        <w:ind w:left="4320" w:hanging="360"/>
      </w:pPr>
      <w:rPr>
        <w:rFonts w:ascii="Courier New" w:hAnsi="Courier New" w:cs="Courier New" w:hint="default"/>
      </w:rPr>
    </w:lvl>
    <w:lvl w:ilvl="2" w:tplc="F58A6080" w:tentative="1">
      <w:start w:val="1"/>
      <w:numFmt w:val="bullet"/>
      <w:lvlText w:val=""/>
      <w:lvlJc w:val="left"/>
      <w:pPr>
        <w:ind w:left="5040" w:hanging="360"/>
      </w:pPr>
      <w:rPr>
        <w:rFonts w:ascii="Wingdings" w:hAnsi="Wingdings" w:hint="default"/>
      </w:rPr>
    </w:lvl>
    <w:lvl w:ilvl="3" w:tplc="8B2A3B8E" w:tentative="1">
      <w:start w:val="1"/>
      <w:numFmt w:val="bullet"/>
      <w:lvlText w:val=""/>
      <w:lvlJc w:val="left"/>
      <w:pPr>
        <w:ind w:left="5760" w:hanging="360"/>
      </w:pPr>
      <w:rPr>
        <w:rFonts w:ascii="Symbol" w:hAnsi="Symbol" w:hint="default"/>
      </w:rPr>
    </w:lvl>
    <w:lvl w:ilvl="4" w:tplc="406CCABE" w:tentative="1">
      <w:start w:val="1"/>
      <w:numFmt w:val="bullet"/>
      <w:lvlText w:val="o"/>
      <w:lvlJc w:val="left"/>
      <w:pPr>
        <w:ind w:left="6480" w:hanging="360"/>
      </w:pPr>
      <w:rPr>
        <w:rFonts w:ascii="Courier New" w:hAnsi="Courier New" w:cs="Courier New" w:hint="default"/>
      </w:rPr>
    </w:lvl>
    <w:lvl w:ilvl="5" w:tplc="7520B654" w:tentative="1">
      <w:start w:val="1"/>
      <w:numFmt w:val="bullet"/>
      <w:lvlText w:val=""/>
      <w:lvlJc w:val="left"/>
      <w:pPr>
        <w:ind w:left="7200" w:hanging="360"/>
      </w:pPr>
      <w:rPr>
        <w:rFonts w:ascii="Wingdings" w:hAnsi="Wingdings" w:hint="default"/>
      </w:rPr>
    </w:lvl>
    <w:lvl w:ilvl="6" w:tplc="4798EAA0" w:tentative="1">
      <w:start w:val="1"/>
      <w:numFmt w:val="bullet"/>
      <w:lvlText w:val=""/>
      <w:lvlJc w:val="left"/>
      <w:pPr>
        <w:ind w:left="7920" w:hanging="360"/>
      </w:pPr>
      <w:rPr>
        <w:rFonts w:ascii="Symbol" w:hAnsi="Symbol" w:hint="default"/>
      </w:rPr>
    </w:lvl>
    <w:lvl w:ilvl="7" w:tplc="808AA7CC" w:tentative="1">
      <w:start w:val="1"/>
      <w:numFmt w:val="bullet"/>
      <w:lvlText w:val="o"/>
      <w:lvlJc w:val="left"/>
      <w:pPr>
        <w:ind w:left="8640" w:hanging="360"/>
      </w:pPr>
      <w:rPr>
        <w:rFonts w:ascii="Courier New" w:hAnsi="Courier New" w:cs="Courier New" w:hint="default"/>
      </w:rPr>
    </w:lvl>
    <w:lvl w:ilvl="8" w:tplc="AA261AA2" w:tentative="1">
      <w:start w:val="1"/>
      <w:numFmt w:val="bullet"/>
      <w:lvlText w:val=""/>
      <w:lvlJc w:val="left"/>
      <w:pPr>
        <w:ind w:left="9360" w:hanging="360"/>
      </w:pPr>
      <w:rPr>
        <w:rFonts w:ascii="Wingdings" w:hAnsi="Wingdings" w:hint="default"/>
      </w:rPr>
    </w:lvl>
  </w:abstractNum>
  <w:abstractNum w:abstractNumId="14" w15:restartNumberingAfterBreak="0">
    <w:nsid w:val="0DD37C39"/>
    <w:multiLevelType w:val="hybridMultilevel"/>
    <w:tmpl w:val="F9C8E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E870864"/>
    <w:multiLevelType w:val="multilevel"/>
    <w:tmpl w:val="B23C204A"/>
    <w:lvl w:ilvl="0">
      <w:start w:val="1"/>
      <w:numFmt w:val="bullet"/>
      <w:lvlText w:val=""/>
      <w:lvlJc w:val="left"/>
      <w:pPr>
        <w:ind w:left="432" w:hanging="432"/>
      </w:pPr>
      <w:rPr>
        <w:rFonts w:ascii="Symbol" w:hAnsi="Symbol" w:hint="default"/>
        <w:color w:val="26847A"/>
        <w:sz w:val="21"/>
      </w:rPr>
    </w:lvl>
    <w:lvl w:ilvl="1">
      <w:start w:val="1"/>
      <w:numFmt w:val="bullet"/>
      <w:lvlText w:val="–"/>
      <w:lvlJc w:val="left"/>
      <w:pPr>
        <w:ind w:left="864" w:hanging="389"/>
      </w:pPr>
      <w:rPr>
        <w:rFonts w:asciiTheme="minorHAnsi" w:hAnsiTheme="minorHAnsi" w:cstheme="minorHAnsi" w:hint="default"/>
        <w:color w:val="26847A"/>
        <w:sz w:val="21"/>
        <w:szCs w:val="21"/>
      </w:rPr>
    </w:lvl>
    <w:lvl w:ilvl="2">
      <w:start w:val="1"/>
      <w:numFmt w:val="bullet"/>
      <w:lvlText w:val=""/>
      <w:lvlJc w:val="left"/>
      <w:pPr>
        <w:ind w:left="1296" w:hanging="389"/>
      </w:pPr>
      <w:rPr>
        <w:rFonts w:ascii="Wingdings" w:hAnsi="Wingdings" w:hint="default"/>
        <w:color w:val="26847A"/>
      </w:rPr>
    </w:lvl>
    <w:lvl w:ilvl="3">
      <w:start w:val="1"/>
      <w:numFmt w:val="bullet"/>
      <w:lvlText w:val=""/>
      <w:lvlJc w:val="left"/>
      <w:pPr>
        <w:ind w:left="1728" w:hanging="389"/>
      </w:pPr>
      <w:rPr>
        <w:rFonts w:ascii="Symbol" w:hAnsi="Symbol" w:hint="default"/>
        <w:color w:val="26847A"/>
        <w:sz w:val="21"/>
        <w:szCs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0A12F37"/>
    <w:multiLevelType w:val="hybridMultilevel"/>
    <w:tmpl w:val="AA9E2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11B5E8B"/>
    <w:multiLevelType w:val="multilevel"/>
    <w:tmpl w:val="832A6782"/>
    <w:lvl w:ilvl="0">
      <w:start w:val="1"/>
      <w:numFmt w:val="decimal"/>
      <w:lvlText w:val="%1."/>
      <w:lvlJc w:val="left"/>
      <w:pPr>
        <w:ind w:left="1728" w:hanging="432"/>
      </w:pPr>
      <w:rPr>
        <w:rFonts w:hint="default"/>
        <w:color w:val="26847A"/>
        <w:sz w:val="21"/>
        <w:szCs w:val="24"/>
      </w:rPr>
    </w:lvl>
    <w:lvl w:ilvl="1">
      <w:start w:val="1"/>
      <w:numFmt w:val="lowerLetter"/>
      <w:lvlText w:val="%2."/>
      <w:lvlJc w:val="left"/>
      <w:pPr>
        <w:ind w:left="2448" w:hanging="432"/>
      </w:pPr>
      <w:rPr>
        <w:rFonts w:ascii="Calibri" w:hAnsi="Calibri" w:hint="default"/>
        <w:color w:val="26847A"/>
        <w:sz w:val="21"/>
      </w:rPr>
    </w:lvl>
    <w:lvl w:ilvl="2">
      <w:start w:val="1"/>
      <w:numFmt w:val="lowerRoman"/>
      <w:lvlText w:val="%3."/>
      <w:lvlJc w:val="right"/>
      <w:pPr>
        <w:ind w:left="3168" w:hanging="432"/>
      </w:pPr>
      <w:rPr>
        <w:rFonts w:hint="default"/>
      </w:rPr>
    </w:lvl>
    <w:lvl w:ilvl="3">
      <w:start w:val="1"/>
      <w:numFmt w:val="lowerLetter"/>
      <w:lvlText w:val="%4)"/>
      <w:lvlJc w:val="left"/>
      <w:pPr>
        <w:ind w:left="1728" w:hanging="432"/>
      </w:pPr>
      <w:rPr>
        <w:rFonts w:ascii="Calibri" w:hAnsi="Calibri" w:hint="default"/>
        <w:color w:val="26847A"/>
        <w:sz w:val="21"/>
      </w:rPr>
    </w:lvl>
    <w:lvl w:ilvl="4">
      <w:start w:val="1"/>
      <w:numFmt w:val="lowerLetter"/>
      <w:lvlText w:val="%5."/>
      <w:lvlJc w:val="left"/>
      <w:pPr>
        <w:ind w:left="4608" w:hanging="432"/>
      </w:pPr>
      <w:rPr>
        <w:rFonts w:hint="default"/>
      </w:rPr>
    </w:lvl>
    <w:lvl w:ilvl="5">
      <w:start w:val="1"/>
      <w:numFmt w:val="lowerRoman"/>
      <w:lvlText w:val="%6."/>
      <w:lvlJc w:val="right"/>
      <w:pPr>
        <w:ind w:left="5328" w:hanging="432"/>
      </w:pPr>
      <w:rPr>
        <w:rFonts w:hint="default"/>
      </w:rPr>
    </w:lvl>
    <w:lvl w:ilvl="6">
      <w:start w:val="1"/>
      <w:numFmt w:val="decimal"/>
      <w:lvlText w:val="%7."/>
      <w:lvlJc w:val="left"/>
      <w:pPr>
        <w:ind w:left="6048" w:hanging="432"/>
      </w:pPr>
      <w:rPr>
        <w:rFonts w:hint="default"/>
      </w:rPr>
    </w:lvl>
    <w:lvl w:ilvl="7">
      <w:start w:val="1"/>
      <w:numFmt w:val="lowerLetter"/>
      <w:lvlText w:val="%8."/>
      <w:lvlJc w:val="left"/>
      <w:pPr>
        <w:ind w:left="6768" w:hanging="432"/>
      </w:pPr>
      <w:rPr>
        <w:rFonts w:hint="default"/>
      </w:rPr>
    </w:lvl>
    <w:lvl w:ilvl="8">
      <w:start w:val="1"/>
      <w:numFmt w:val="lowerRoman"/>
      <w:lvlText w:val="%9."/>
      <w:lvlJc w:val="right"/>
      <w:pPr>
        <w:ind w:left="7488" w:hanging="432"/>
      </w:pPr>
      <w:rPr>
        <w:rFonts w:hint="default"/>
      </w:rPr>
    </w:lvl>
  </w:abstractNum>
  <w:abstractNum w:abstractNumId="18" w15:restartNumberingAfterBreak="0">
    <w:nsid w:val="112B5BEC"/>
    <w:multiLevelType w:val="hybridMultilevel"/>
    <w:tmpl w:val="F84E7042"/>
    <w:lvl w:ilvl="0" w:tplc="2996A4F0">
      <w:start w:val="1"/>
      <w:numFmt w:val="bullet"/>
      <w:lvlText w:val=""/>
      <w:lvlJc w:val="left"/>
      <w:pPr>
        <w:ind w:left="720" w:hanging="360"/>
      </w:pPr>
      <w:rPr>
        <w:rFonts w:ascii="Symbol" w:hAnsi="Symbol" w:hint="default"/>
      </w:rPr>
    </w:lvl>
    <w:lvl w:ilvl="1" w:tplc="600E6B76">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ACA7948"/>
    <w:multiLevelType w:val="hybridMultilevel"/>
    <w:tmpl w:val="07824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C2E46C4"/>
    <w:multiLevelType w:val="hybridMultilevel"/>
    <w:tmpl w:val="A746BF42"/>
    <w:lvl w:ilvl="0" w:tplc="B04A9FCE">
      <w:start w:val="1"/>
      <w:numFmt w:val="bullet"/>
      <w:lvlText w:val=""/>
      <w:lvlJc w:val="left"/>
      <w:pPr>
        <w:ind w:left="1440" w:hanging="360"/>
      </w:pPr>
      <w:rPr>
        <w:rFonts w:ascii="Symbol" w:hAnsi="Symbol" w:hint="default"/>
        <w:color w:val="1C56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EA01DBD"/>
    <w:multiLevelType w:val="multilevel"/>
    <w:tmpl w:val="B27CC8A2"/>
    <w:lvl w:ilvl="0">
      <w:start w:val="1"/>
      <w:numFmt w:val="bullet"/>
      <w:pStyle w:val="N2-2ndBullet"/>
      <w:lvlText w:val=""/>
      <w:lvlJc w:val="left"/>
      <w:pPr>
        <w:ind w:left="2448" w:hanging="360"/>
      </w:pPr>
      <w:rPr>
        <w:rFonts w:ascii="Symbol" w:hAnsi="Symbol" w:hint="default"/>
        <w:color w:val="26847A"/>
        <w:sz w:val="21"/>
        <w:szCs w:val="28"/>
      </w:rPr>
    </w:lvl>
    <w:lvl w:ilvl="1">
      <w:start w:val="1"/>
      <w:numFmt w:val="bullet"/>
      <w:pStyle w:val="N2-2ndBullet"/>
      <w:lvlText w:val="–"/>
      <w:lvlJc w:val="left"/>
      <w:pPr>
        <w:ind w:left="3168" w:hanging="360"/>
      </w:pPr>
      <w:rPr>
        <w:rFonts w:asciiTheme="minorHAnsi" w:hAnsiTheme="minorHAnsi" w:cstheme="minorHAnsi" w:hint="default"/>
        <w:b w:val="0"/>
        <w:color w:val="26847A"/>
        <w:sz w:val="21"/>
        <w:szCs w:val="21"/>
      </w:rPr>
    </w:lvl>
    <w:lvl w:ilvl="2">
      <w:start w:val="1"/>
      <w:numFmt w:val="lowerRoman"/>
      <w:lvlText w:val="%3."/>
      <w:lvlJc w:val="right"/>
      <w:pPr>
        <w:ind w:left="3384" w:firstLine="0"/>
      </w:pPr>
      <w:rPr>
        <w:rFonts w:hint="default"/>
      </w:rPr>
    </w:lvl>
    <w:lvl w:ilvl="3">
      <w:start w:val="1"/>
      <w:numFmt w:val="decimal"/>
      <w:lvlText w:val="%4."/>
      <w:lvlJc w:val="left"/>
      <w:pPr>
        <w:ind w:left="4608" w:hanging="360"/>
      </w:pPr>
      <w:rPr>
        <w:rFonts w:hint="default"/>
      </w:rPr>
    </w:lvl>
    <w:lvl w:ilvl="4">
      <w:start w:val="1"/>
      <w:numFmt w:val="lowerLetter"/>
      <w:lvlText w:val="%5."/>
      <w:lvlJc w:val="left"/>
      <w:pPr>
        <w:ind w:left="5328" w:hanging="360"/>
      </w:pPr>
      <w:rPr>
        <w:rFonts w:hint="default"/>
      </w:rPr>
    </w:lvl>
    <w:lvl w:ilvl="5">
      <w:start w:val="1"/>
      <w:numFmt w:val="lowerRoman"/>
      <w:lvlText w:val="%6."/>
      <w:lvlJc w:val="right"/>
      <w:pPr>
        <w:ind w:left="6048" w:hanging="180"/>
      </w:pPr>
      <w:rPr>
        <w:rFonts w:hint="default"/>
      </w:rPr>
    </w:lvl>
    <w:lvl w:ilvl="6">
      <w:start w:val="1"/>
      <w:numFmt w:val="decimal"/>
      <w:lvlText w:val="%7."/>
      <w:lvlJc w:val="left"/>
      <w:pPr>
        <w:ind w:left="6768" w:hanging="360"/>
      </w:pPr>
      <w:rPr>
        <w:rFonts w:hint="default"/>
      </w:rPr>
    </w:lvl>
    <w:lvl w:ilvl="7">
      <w:start w:val="1"/>
      <w:numFmt w:val="lowerLetter"/>
      <w:lvlText w:val="%8."/>
      <w:lvlJc w:val="left"/>
      <w:pPr>
        <w:ind w:left="7488" w:hanging="360"/>
      </w:pPr>
      <w:rPr>
        <w:rFonts w:hint="default"/>
      </w:rPr>
    </w:lvl>
    <w:lvl w:ilvl="8">
      <w:start w:val="1"/>
      <w:numFmt w:val="lowerRoman"/>
      <w:lvlText w:val="%9."/>
      <w:lvlJc w:val="right"/>
      <w:pPr>
        <w:ind w:left="8208" w:hanging="180"/>
      </w:pPr>
      <w:rPr>
        <w:rFonts w:hint="default"/>
      </w:rPr>
    </w:lvl>
  </w:abstractNum>
  <w:abstractNum w:abstractNumId="22" w15:restartNumberingAfterBreak="0">
    <w:nsid w:val="2B1C7B7A"/>
    <w:multiLevelType w:val="hybridMultilevel"/>
    <w:tmpl w:val="88BE6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A465D1"/>
    <w:multiLevelType w:val="multilevel"/>
    <w:tmpl w:val="A9C68204"/>
    <w:lvl w:ilvl="0">
      <w:start w:val="1"/>
      <w:numFmt w:val="bullet"/>
      <w:pStyle w:val="ListBullet"/>
      <w:lvlText w:val=""/>
      <w:lvlJc w:val="left"/>
      <w:pPr>
        <w:ind w:left="432" w:hanging="432"/>
      </w:pPr>
      <w:rPr>
        <w:rFonts w:ascii="Symbol" w:hAnsi="Symbol" w:hint="default"/>
        <w:color w:val="26847A"/>
        <w:sz w:val="21"/>
      </w:rPr>
    </w:lvl>
    <w:lvl w:ilvl="1">
      <w:start w:val="1"/>
      <w:numFmt w:val="bullet"/>
      <w:pStyle w:val="ListBullet2"/>
      <w:lvlText w:val="–"/>
      <w:lvlJc w:val="left"/>
      <w:pPr>
        <w:ind w:left="864" w:hanging="432"/>
      </w:pPr>
      <w:rPr>
        <w:rFonts w:ascii="Times New Roman" w:hAnsi="Times New Roman" w:cs="Times New Roman" w:hint="default"/>
        <w:color w:val="26847A"/>
        <w:sz w:val="21"/>
        <w:szCs w:val="21"/>
      </w:rPr>
    </w:lvl>
    <w:lvl w:ilvl="2">
      <w:start w:val="1"/>
      <w:numFmt w:val="bullet"/>
      <w:pStyle w:val="ListBullet3"/>
      <w:lvlText w:val=""/>
      <w:lvlJc w:val="left"/>
      <w:pPr>
        <w:ind w:left="1296" w:hanging="432"/>
      </w:pPr>
      <w:rPr>
        <w:rFonts w:ascii="Wingdings" w:hAnsi="Wingdings" w:hint="default"/>
        <w:color w:val="26847A"/>
      </w:rPr>
    </w:lvl>
    <w:lvl w:ilvl="3">
      <w:start w:val="1"/>
      <w:numFmt w:val="bullet"/>
      <w:pStyle w:val="ListBullet4"/>
      <w:lvlText w:val=""/>
      <w:lvlJc w:val="left"/>
      <w:pPr>
        <w:ind w:left="1728" w:hanging="432"/>
      </w:pPr>
      <w:rPr>
        <w:rFonts w:ascii="Symbol" w:hAnsi="Symbol" w:hint="default"/>
        <w:color w:val="26847A"/>
        <w:sz w:val="21"/>
        <w:szCs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E8E0979"/>
    <w:multiLevelType w:val="hybridMultilevel"/>
    <w:tmpl w:val="5248080E"/>
    <w:lvl w:ilvl="0" w:tplc="50A64668">
      <w:start w:val="1"/>
      <w:numFmt w:val="bullet"/>
      <w:lvlText w:val="o"/>
      <w:lvlJc w:val="left"/>
      <w:pPr>
        <w:ind w:left="1080" w:hanging="360"/>
      </w:pPr>
      <w:rPr>
        <w:rFonts w:ascii="Courier New" w:hAnsi="Courier New" w:hint="default"/>
        <w:color w:val="2D837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A196730"/>
    <w:multiLevelType w:val="hybridMultilevel"/>
    <w:tmpl w:val="B016B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6A6BE1"/>
    <w:multiLevelType w:val="hybridMultilevel"/>
    <w:tmpl w:val="AC90A5FA"/>
    <w:lvl w:ilvl="0" w:tplc="AE2AF508">
      <w:start w:val="1"/>
      <w:numFmt w:val="bullet"/>
      <w:pStyle w:val="ListParagraph"/>
      <w:lvlText w:val=""/>
      <w:lvlJc w:val="left"/>
      <w:pPr>
        <w:ind w:left="360" w:hanging="360"/>
      </w:pPr>
      <w:rPr>
        <w:rFonts w:ascii="Symbol" w:hAnsi="Symbol" w:hint="default"/>
        <w:color w:val="26847A"/>
        <w:sz w:val="24"/>
      </w:rPr>
    </w:lvl>
    <w:lvl w:ilvl="1" w:tplc="04090019">
      <w:start w:val="1"/>
      <w:numFmt w:val="bullet"/>
      <w:lvlText w:val="–"/>
      <w:lvlJc w:val="left"/>
      <w:pPr>
        <w:ind w:left="1440" w:hanging="360"/>
      </w:pPr>
      <w:rPr>
        <w:rFonts w:ascii="Arial" w:hAnsi="Arial" w:hint="default"/>
        <w:color w:val="26847A"/>
      </w:rPr>
    </w:lvl>
    <w:lvl w:ilvl="2" w:tplc="0409001B">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7" w15:restartNumberingAfterBreak="0">
    <w:nsid w:val="518949F5"/>
    <w:multiLevelType w:val="hybridMultilevel"/>
    <w:tmpl w:val="6B6EFA54"/>
    <w:lvl w:ilvl="0" w:tplc="B3347238">
      <w:start w:val="1"/>
      <w:numFmt w:val="lowerRoman"/>
      <w:lvlText w:val="%1."/>
      <w:lvlJc w:val="right"/>
      <w:pPr>
        <w:ind w:left="2160" w:firstLine="360"/>
      </w:pPr>
      <w:rPr>
        <w:rFonts w:hint="default"/>
      </w:rPr>
    </w:lvl>
    <w:lvl w:ilvl="1" w:tplc="FF1EBC9E">
      <w:start w:val="1"/>
      <w:numFmt w:val="lowerLetter"/>
      <w:lvlText w:val="%2."/>
      <w:lvlJc w:val="left"/>
      <w:pPr>
        <w:ind w:left="3600" w:hanging="360"/>
      </w:pPr>
    </w:lvl>
    <w:lvl w:ilvl="2" w:tplc="04090005">
      <w:start w:val="1"/>
      <w:numFmt w:val="lowerRoman"/>
      <w:pStyle w:val="ListNumber"/>
      <w:lvlText w:val="%3."/>
      <w:lvlJc w:val="left"/>
      <w:pPr>
        <w:ind w:left="4320" w:hanging="180"/>
      </w:pPr>
      <w:rPr>
        <w:rFonts w:ascii="Calibri" w:hAnsi="Calibri" w:hint="default"/>
        <w:color w:val="26847A"/>
        <w:sz w:val="21"/>
      </w:rPr>
    </w:lvl>
    <w:lvl w:ilvl="3" w:tplc="04090001">
      <w:start w:val="1"/>
      <w:numFmt w:val="lowerLetter"/>
      <w:pStyle w:val="ListNumber2"/>
      <w:lvlText w:val="%4)"/>
      <w:lvlJc w:val="left"/>
      <w:pPr>
        <w:ind w:left="3420" w:hanging="360"/>
      </w:pPr>
      <w:rPr>
        <w:rFonts w:ascii="Calibri" w:hAnsi="Calibri" w:hint="default"/>
        <w:color w:val="2D837B"/>
        <w:sz w:val="21"/>
        <w:szCs w:val="24"/>
      </w:rPr>
    </w:lvl>
    <w:lvl w:ilvl="4" w:tplc="04090003" w:tentative="1">
      <w:start w:val="1"/>
      <w:numFmt w:val="lowerLetter"/>
      <w:lvlText w:val="%5."/>
      <w:lvlJc w:val="left"/>
      <w:pPr>
        <w:ind w:left="5760" w:hanging="360"/>
      </w:pPr>
    </w:lvl>
    <w:lvl w:ilvl="5" w:tplc="04090005" w:tentative="1">
      <w:start w:val="1"/>
      <w:numFmt w:val="lowerRoman"/>
      <w:lvlText w:val="%6."/>
      <w:lvlJc w:val="right"/>
      <w:pPr>
        <w:ind w:left="6480" w:hanging="180"/>
      </w:pPr>
    </w:lvl>
    <w:lvl w:ilvl="6" w:tplc="04090001" w:tentative="1">
      <w:start w:val="1"/>
      <w:numFmt w:val="decimal"/>
      <w:lvlText w:val="%7."/>
      <w:lvlJc w:val="left"/>
      <w:pPr>
        <w:ind w:left="7200" w:hanging="360"/>
      </w:pPr>
    </w:lvl>
    <w:lvl w:ilvl="7" w:tplc="04090003" w:tentative="1">
      <w:start w:val="1"/>
      <w:numFmt w:val="lowerLetter"/>
      <w:lvlText w:val="%8."/>
      <w:lvlJc w:val="left"/>
      <w:pPr>
        <w:ind w:left="7920" w:hanging="360"/>
      </w:pPr>
    </w:lvl>
    <w:lvl w:ilvl="8" w:tplc="04090005" w:tentative="1">
      <w:start w:val="1"/>
      <w:numFmt w:val="lowerRoman"/>
      <w:lvlText w:val="%9."/>
      <w:lvlJc w:val="right"/>
      <w:pPr>
        <w:ind w:left="8640" w:hanging="180"/>
      </w:pPr>
    </w:lvl>
  </w:abstractNum>
  <w:abstractNum w:abstractNumId="28" w15:restartNumberingAfterBreak="0">
    <w:nsid w:val="53610480"/>
    <w:multiLevelType w:val="multilevel"/>
    <w:tmpl w:val="206E6696"/>
    <w:lvl w:ilvl="0">
      <w:start w:val="1"/>
      <w:numFmt w:val="decimal"/>
      <w:pStyle w:val="NL-1stNumberedBullet"/>
      <w:lvlText w:val="%1."/>
      <w:lvlJc w:val="left"/>
      <w:pPr>
        <w:ind w:left="432" w:hanging="432"/>
      </w:pPr>
      <w:rPr>
        <w:rFonts w:hint="default"/>
        <w:color w:val="26847A"/>
        <w:sz w:val="21"/>
        <w:szCs w:val="24"/>
      </w:rPr>
    </w:lvl>
    <w:lvl w:ilvl="1">
      <w:start w:val="1"/>
      <w:numFmt w:val="lowerLetter"/>
      <w:pStyle w:val="NA-2ndBullet"/>
      <w:lvlText w:val="%2."/>
      <w:lvlJc w:val="left"/>
      <w:pPr>
        <w:ind w:left="864" w:hanging="432"/>
      </w:pPr>
      <w:rPr>
        <w:rFonts w:ascii="Calibri" w:hAnsi="Calibri" w:hint="default"/>
        <w:color w:val="26847A"/>
        <w:sz w:val="21"/>
      </w:rPr>
    </w:lvl>
    <w:lvl w:ilvl="2">
      <w:start w:val="1"/>
      <w:numFmt w:val="lowerRoman"/>
      <w:pStyle w:val="NB-3rdBullet"/>
      <w:lvlText w:val="%3."/>
      <w:lvlJc w:val="left"/>
      <w:pPr>
        <w:ind w:left="1296" w:hanging="432"/>
      </w:pPr>
      <w:rPr>
        <w:rFonts w:ascii="Calibri" w:hAnsi="Calibri" w:hint="default"/>
        <w:caps w:val="0"/>
        <w:vanish w:val="0"/>
        <w:color w:val="26847A"/>
        <w:sz w:val="21"/>
      </w:rPr>
    </w:lvl>
    <w:lvl w:ilvl="3">
      <w:start w:val="1"/>
      <w:numFmt w:val="lowerLetter"/>
      <w:pStyle w:val="NC-4thBullet"/>
      <w:lvlText w:val="%4)"/>
      <w:lvlJc w:val="left"/>
      <w:pPr>
        <w:ind w:left="1728" w:hanging="432"/>
      </w:pPr>
      <w:rPr>
        <w:rFonts w:ascii="Calibri" w:hAnsi="Calibri" w:hint="default"/>
        <w:color w:val="26847A"/>
        <w:sz w:val="21"/>
        <w:u w:color="26847A"/>
      </w:rPr>
    </w:lvl>
    <w:lvl w:ilvl="4">
      <w:start w:val="1"/>
      <w:numFmt w:val="lowerLetter"/>
      <w:lvlText w:val="%5."/>
      <w:lvlJc w:val="left"/>
      <w:pPr>
        <w:ind w:left="432" w:hanging="432"/>
      </w:pPr>
      <w:rPr>
        <w:rFonts w:hint="default"/>
      </w:rPr>
    </w:lvl>
    <w:lvl w:ilvl="5">
      <w:start w:val="1"/>
      <w:numFmt w:val="lowerRoman"/>
      <w:lvlText w:val="%6."/>
      <w:lvlJc w:val="right"/>
      <w:pPr>
        <w:ind w:left="432" w:hanging="432"/>
      </w:pPr>
      <w:rPr>
        <w:rFonts w:hint="default"/>
      </w:rPr>
    </w:lvl>
    <w:lvl w:ilvl="6">
      <w:start w:val="1"/>
      <w:numFmt w:val="decimal"/>
      <w:lvlText w:val="%7."/>
      <w:lvlJc w:val="left"/>
      <w:pPr>
        <w:ind w:left="432" w:hanging="432"/>
      </w:pPr>
      <w:rPr>
        <w:rFonts w:hint="default"/>
      </w:rPr>
    </w:lvl>
    <w:lvl w:ilvl="7">
      <w:start w:val="1"/>
      <w:numFmt w:val="lowerLetter"/>
      <w:lvlText w:val="%8."/>
      <w:lvlJc w:val="left"/>
      <w:pPr>
        <w:ind w:left="432" w:hanging="432"/>
      </w:pPr>
      <w:rPr>
        <w:rFonts w:hint="default"/>
      </w:rPr>
    </w:lvl>
    <w:lvl w:ilvl="8">
      <w:start w:val="1"/>
      <w:numFmt w:val="lowerRoman"/>
      <w:lvlText w:val="%9."/>
      <w:lvlJc w:val="right"/>
      <w:pPr>
        <w:ind w:left="432" w:hanging="432"/>
      </w:pPr>
      <w:rPr>
        <w:rFonts w:hint="default"/>
      </w:rPr>
    </w:lvl>
  </w:abstractNum>
  <w:abstractNum w:abstractNumId="29" w15:restartNumberingAfterBreak="0">
    <w:nsid w:val="6AE4039B"/>
    <w:multiLevelType w:val="hybridMultilevel"/>
    <w:tmpl w:val="2444B9B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15:restartNumberingAfterBreak="0">
    <w:nsid w:val="6B212A01"/>
    <w:multiLevelType w:val="hybridMultilevel"/>
    <w:tmpl w:val="67B61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D22EA0"/>
    <w:multiLevelType w:val="multilevel"/>
    <w:tmpl w:val="0B74E126"/>
    <w:lvl w:ilvl="0">
      <w:start w:val="1"/>
      <w:numFmt w:val="bullet"/>
      <w:pStyle w:val="TB2-TableBullet2"/>
      <w:lvlText w:val=""/>
      <w:lvlJc w:val="left"/>
      <w:pPr>
        <w:ind w:left="576" w:hanging="288"/>
      </w:pPr>
      <w:rPr>
        <w:rFonts w:ascii="Symbol" w:hAnsi="Symbol"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D104FA8"/>
    <w:multiLevelType w:val="hybridMultilevel"/>
    <w:tmpl w:val="5FFC9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9A291F"/>
    <w:multiLevelType w:val="hybridMultilevel"/>
    <w:tmpl w:val="6394B96E"/>
    <w:lvl w:ilvl="0" w:tplc="21BED93E">
      <w:start w:val="1"/>
      <w:numFmt w:val="bullet"/>
      <w:lvlText w:val=""/>
      <w:lvlJc w:val="left"/>
      <w:pPr>
        <w:ind w:left="1080" w:hanging="360"/>
      </w:pPr>
      <w:rPr>
        <w:rFonts w:ascii="Symbol" w:hAnsi="Symbol" w:hint="default"/>
        <w:color w:val="2D837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02914CF"/>
    <w:multiLevelType w:val="hybridMultilevel"/>
    <w:tmpl w:val="E8A20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AC0971"/>
    <w:multiLevelType w:val="hybridMultilevel"/>
    <w:tmpl w:val="A52279C8"/>
    <w:lvl w:ilvl="0" w:tplc="C722D708">
      <w:start w:val="1"/>
      <w:numFmt w:val="bullet"/>
      <w:lvlText w:val=""/>
      <w:lvlJc w:val="left"/>
      <w:pPr>
        <w:ind w:left="720" w:hanging="360"/>
      </w:pPr>
      <w:rPr>
        <w:rFonts w:ascii="Symbol" w:hAnsi="Symbol" w:hint="default"/>
        <w:color w:val="1C569A"/>
      </w:rPr>
    </w:lvl>
    <w:lvl w:ilvl="1" w:tplc="600E6B76">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0661D1"/>
    <w:multiLevelType w:val="hybridMultilevel"/>
    <w:tmpl w:val="99B68290"/>
    <w:lvl w:ilvl="0" w:tplc="2996A4F0">
      <w:start w:val="1"/>
      <w:numFmt w:val="bullet"/>
      <w:lvlText w:val=""/>
      <w:lvlJc w:val="left"/>
      <w:pPr>
        <w:ind w:left="720" w:hanging="360"/>
      </w:pPr>
      <w:rPr>
        <w:rFonts w:ascii="Symbol" w:hAnsi="Symbol" w:hint="default"/>
      </w:rPr>
    </w:lvl>
    <w:lvl w:ilvl="1" w:tplc="78328B0E">
      <w:start w:val="1"/>
      <w:numFmt w:val="bullet"/>
      <w:lvlText w:val="o"/>
      <w:lvlJc w:val="left"/>
      <w:pPr>
        <w:ind w:left="1440" w:hanging="360"/>
      </w:pPr>
      <w:rPr>
        <w:rFonts w:ascii="Courier New" w:hAnsi="Courier New" w:hint="default"/>
        <w:color w:val="35A59A"/>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0"/>
  </w:num>
  <w:num w:numId="3">
    <w:abstractNumId w:val="0"/>
  </w:num>
  <w:num w:numId="4">
    <w:abstractNumId w:val="1"/>
  </w:num>
  <w:num w:numId="5">
    <w:abstractNumId w:val="2"/>
  </w:num>
  <w:num w:numId="6">
    <w:abstractNumId w:val="3"/>
  </w:num>
  <w:num w:numId="7">
    <w:abstractNumId w:val="8"/>
  </w:num>
  <w:num w:numId="8">
    <w:abstractNumId w:val="4"/>
  </w:num>
  <w:num w:numId="9">
    <w:abstractNumId w:val="5"/>
  </w:num>
  <w:num w:numId="10">
    <w:abstractNumId w:val="6"/>
  </w:num>
  <w:num w:numId="11">
    <w:abstractNumId w:val="7"/>
  </w:num>
  <w:num w:numId="12">
    <w:abstractNumId w:val="9"/>
  </w:num>
  <w:num w:numId="13">
    <w:abstractNumId w:val="35"/>
  </w:num>
  <w:num w:numId="14">
    <w:abstractNumId w:val="10"/>
  </w:num>
  <w:num w:numId="15">
    <w:abstractNumId w:val="26"/>
  </w:num>
  <w:num w:numId="16">
    <w:abstractNumId w:val="36"/>
  </w:num>
  <w:num w:numId="17">
    <w:abstractNumId w:val="26"/>
  </w:num>
  <w:num w:numId="18">
    <w:abstractNumId w:val="26"/>
  </w:num>
  <w:num w:numId="19">
    <w:abstractNumId w:val="33"/>
  </w:num>
  <w:num w:numId="20">
    <w:abstractNumId w:val="24"/>
  </w:num>
  <w:num w:numId="21">
    <w:abstractNumId w:val="33"/>
  </w:num>
  <w:num w:numId="22">
    <w:abstractNumId w:val="16"/>
  </w:num>
  <w:num w:numId="23">
    <w:abstractNumId w:val="22"/>
  </w:num>
  <w:num w:numId="24">
    <w:abstractNumId w:val="14"/>
  </w:num>
  <w:num w:numId="25">
    <w:abstractNumId w:val="32"/>
  </w:num>
  <w:num w:numId="26">
    <w:abstractNumId w:val="12"/>
  </w:num>
  <w:num w:numId="27">
    <w:abstractNumId w:val="30"/>
  </w:num>
  <w:num w:numId="28">
    <w:abstractNumId w:val="29"/>
  </w:num>
  <w:num w:numId="29">
    <w:abstractNumId w:val="34"/>
  </w:num>
  <w:num w:numId="30">
    <w:abstractNumId w:val="19"/>
  </w:num>
  <w:num w:numId="31">
    <w:abstractNumId w:val="11"/>
  </w:num>
  <w:num w:numId="32">
    <w:abstractNumId w:val="25"/>
  </w:num>
  <w:num w:numId="33">
    <w:abstractNumId w:val="23"/>
  </w:num>
  <w:num w:numId="34">
    <w:abstractNumId w:val="21"/>
  </w:num>
  <w:num w:numId="35">
    <w:abstractNumId w:val="13"/>
  </w:num>
  <w:num w:numId="36">
    <w:abstractNumId w:val="28"/>
  </w:num>
  <w:num w:numId="37">
    <w:abstractNumId w:val="27"/>
  </w:num>
  <w:num w:numId="38">
    <w:abstractNumId w:val="31"/>
  </w:num>
  <w:num w:numId="39">
    <w:abstractNumId w:val="23"/>
    <w:lvlOverride w:ilvl="0">
      <w:lvl w:ilvl="0">
        <w:start w:val="1"/>
        <w:numFmt w:val="bullet"/>
        <w:pStyle w:val="ListBullet"/>
        <w:lvlText w:val=""/>
        <w:lvlJc w:val="left"/>
        <w:pPr>
          <w:ind w:left="360" w:hanging="360"/>
        </w:pPr>
        <w:rPr>
          <w:rFonts w:ascii="Symbol" w:hAnsi="Symbol" w:hint="default"/>
          <w:color w:val="08A598"/>
        </w:rPr>
      </w:lvl>
    </w:lvlOverride>
    <w:lvlOverride w:ilvl="1">
      <w:lvl w:ilvl="1">
        <w:start w:val="1"/>
        <w:numFmt w:val="bullet"/>
        <w:pStyle w:val="ListBullet2"/>
        <w:lvlText w:val="–"/>
        <w:lvlJc w:val="left"/>
        <w:pPr>
          <w:ind w:left="720" w:hanging="360"/>
        </w:pPr>
        <w:rPr>
          <w:rFonts w:ascii="Arial" w:hAnsi="Arial" w:hint="default"/>
          <w:color w:val="08A598"/>
        </w:rPr>
      </w:lvl>
    </w:lvlOverride>
    <w:lvlOverride w:ilvl="2">
      <w:lvl w:ilvl="2">
        <w:start w:val="1"/>
        <w:numFmt w:val="bullet"/>
        <w:pStyle w:val="ListBullet3"/>
        <w:lvlText w:val=""/>
        <w:lvlJc w:val="left"/>
        <w:pPr>
          <w:ind w:left="1008" w:hanging="288"/>
        </w:pPr>
        <w:rPr>
          <w:rFonts w:ascii="Wingdings" w:hAnsi="Wingdings" w:hint="default"/>
          <w:color w:val="26847A"/>
        </w:rPr>
      </w:lvl>
    </w:lvlOverride>
    <w:lvlOverride w:ilvl="3">
      <w:lvl w:ilvl="3">
        <w:start w:val="1"/>
        <w:numFmt w:val="bullet"/>
        <w:pStyle w:val="ListBullet4"/>
        <w:lvlText w:val=""/>
        <w:lvlJc w:val="left"/>
        <w:pPr>
          <w:ind w:left="1296" w:hanging="216"/>
        </w:pPr>
        <w:rPr>
          <w:rFonts w:ascii="Symbol" w:hAnsi="Symbol" w:hint="default"/>
          <w:color w:val="26847A"/>
          <w:sz w:val="18"/>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40">
    <w:abstractNumId w:val="17"/>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hideSpellingErrors/>
  <w:activeWritingStyle w:appName="MSWord" w:lang="fr-FR" w:vendorID="64" w:dllVersion="0" w:nlCheck="1" w:checkStyle="0"/>
  <w:activeWritingStyle w:appName="MSWord" w:lang="en-US" w:vendorID="64" w:dllVersion="0" w:nlCheck="1" w:checkStyle="0"/>
  <w:activeWritingStyle w:appName="MSWord" w:lang="en-US" w:vendorID="64" w:dllVersion="6" w:nlCheck="1" w:checkStyle="1"/>
  <w:activeWritingStyle w:appName="MSWord" w:lang="fr-FR" w:vendorID="64" w:dllVersion="6" w:nlCheck="1"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902"/>
    <w:rsid w:val="0000332D"/>
    <w:rsid w:val="0000347D"/>
    <w:rsid w:val="000039DE"/>
    <w:rsid w:val="0000411B"/>
    <w:rsid w:val="000119A1"/>
    <w:rsid w:val="000126BA"/>
    <w:rsid w:val="00015D38"/>
    <w:rsid w:val="00016879"/>
    <w:rsid w:val="000210A4"/>
    <w:rsid w:val="0002772E"/>
    <w:rsid w:val="00030C00"/>
    <w:rsid w:val="00031655"/>
    <w:rsid w:val="000344A2"/>
    <w:rsid w:val="00036202"/>
    <w:rsid w:val="0005028E"/>
    <w:rsid w:val="00050ACD"/>
    <w:rsid w:val="000624D1"/>
    <w:rsid w:val="00064B28"/>
    <w:rsid w:val="0006504B"/>
    <w:rsid w:val="00066002"/>
    <w:rsid w:val="00067776"/>
    <w:rsid w:val="00072E8E"/>
    <w:rsid w:val="0007437D"/>
    <w:rsid w:val="00076A87"/>
    <w:rsid w:val="000854F5"/>
    <w:rsid w:val="00095301"/>
    <w:rsid w:val="000955F1"/>
    <w:rsid w:val="000A2377"/>
    <w:rsid w:val="000A7615"/>
    <w:rsid w:val="000C30B1"/>
    <w:rsid w:val="000C70F3"/>
    <w:rsid w:val="000C7397"/>
    <w:rsid w:val="000C7FCE"/>
    <w:rsid w:val="000D26C0"/>
    <w:rsid w:val="000D57D4"/>
    <w:rsid w:val="000E119F"/>
    <w:rsid w:val="000E5F2D"/>
    <w:rsid w:val="000F4434"/>
    <w:rsid w:val="0010230C"/>
    <w:rsid w:val="001047D5"/>
    <w:rsid w:val="0011323D"/>
    <w:rsid w:val="001153F0"/>
    <w:rsid w:val="00116C1A"/>
    <w:rsid w:val="001171E4"/>
    <w:rsid w:val="00121CBD"/>
    <w:rsid w:val="00122DE5"/>
    <w:rsid w:val="00123239"/>
    <w:rsid w:val="00126C0E"/>
    <w:rsid w:val="00126E97"/>
    <w:rsid w:val="00130C46"/>
    <w:rsid w:val="0014707F"/>
    <w:rsid w:val="001565F5"/>
    <w:rsid w:val="00160BC4"/>
    <w:rsid w:val="00162426"/>
    <w:rsid w:val="00165938"/>
    <w:rsid w:val="00166902"/>
    <w:rsid w:val="00170505"/>
    <w:rsid w:val="00176005"/>
    <w:rsid w:val="00177D96"/>
    <w:rsid w:val="00180151"/>
    <w:rsid w:val="00182EC0"/>
    <w:rsid w:val="0018425E"/>
    <w:rsid w:val="00194B75"/>
    <w:rsid w:val="00195A3D"/>
    <w:rsid w:val="00195AD0"/>
    <w:rsid w:val="00197180"/>
    <w:rsid w:val="0019724D"/>
    <w:rsid w:val="001A0653"/>
    <w:rsid w:val="001C0A06"/>
    <w:rsid w:val="001C1428"/>
    <w:rsid w:val="001C35D8"/>
    <w:rsid w:val="001D31BB"/>
    <w:rsid w:val="001E0CAC"/>
    <w:rsid w:val="001E744D"/>
    <w:rsid w:val="001E7D55"/>
    <w:rsid w:val="001F1365"/>
    <w:rsid w:val="001F1F5E"/>
    <w:rsid w:val="001F46E5"/>
    <w:rsid w:val="001F610A"/>
    <w:rsid w:val="001F6AEA"/>
    <w:rsid w:val="0020267B"/>
    <w:rsid w:val="00203789"/>
    <w:rsid w:val="00203879"/>
    <w:rsid w:val="002113EB"/>
    <w:rsid w:val="00212180"/>
    <w:rsid w:val="002168BC"/>
    <w:rsid w:val="002246AE"/>
    <w:rsid w:val="00224719"/>
    <w:rsid w:val="0022795A"/>
    <w:rsid w:val="0023411B"/>
    <w:rsid w:val="0024597B"/>
    <w:rsid w:val="0025594A"/>
    <w:rsid w:val="0026301A"/>
    <w:rsid w:val="002639DF"/>
    <w:rsid w:val="00266164"/>
    <w:rsid w:val="00273A6D"/>
    <w:rsid w:val="00274F33"/>
    <w:rsid w:val="0027522A"/>
    <w:rsid w:val="00276A48"/>
    <w:rsid w:val="00284970"/>
    <w:rsid w:val="00286AC3"/>
    <w:rsid w:val="002915EA"/>
    <w:rsid w:val="00291F98"/>
    <w:rsid w:val="00296F81"/>
    <w:rsid w:val="002976A8"/>
    <w:rsid w:val="002A34BE"/>
    <w:rsid w:val="002A3D29"/>
    <w:rsid w:val="002A6A09"/>
    <w:rsid w:val="002B0211"/>
    <w:rsid w:val="002B0AF8"/>
    <w:rsid w:val="002B1E90"/>
    <w:rsid w:val="002B577A"/>
    <w:rsid w:val="002B623A"/>
    <w:rsid w:val="002B6DAA"/>
    <w:rsid w:val="002C11E8"/>
    <w:rsid w:val="002C6D82"/>
    <w:rsid w:val="002D34E9"/>
    <w:rsid w:val="002E2FE8"/>
    <w:rsid w:val="002E3EF5"/>
    <w:rsid w:val="002F1390"/>
    <w:rsid w:val="002F2C9F"/>
    <w:rsid w:val="002F46D3"/>
    <w:rsid w:val="002F7358"/>
    <w:rsid w:val="002F7C20"/>
    <w:rsid w:val="00304A8A"/>
    <w:rsid w:val="003078DF"/>
    <w:rsid w:val="00307B43"/>
    <w:rsid w:val="00311B08"/>
    <w:rsid w:val="00313B9C"/>
    <w:rsid w:val="00316334"/>
    <w:rsid w:val="00320477"/>
    <w:rsid w:val="003242A3"/>
    <w:rsid w:val="00325AE8"/>
    <w:rsid w:val="00326717"/>
    <w:rsid w:val="00327008"/>
    <w:rsid w:val="00331406"/>
    <w:rsid w:val="0033345A"/>
    <w:rsid w:val="00336FD2"/>
    <w:rsid w:val="00337B5E"/>
    <w:rsid w:val="00341B27"/>
    <w:rsid w:val="003468C1"/>
    <w:rsid w:val="003470FD"/>
    <w:rsid w:val="00355DE0"/>
    <w:rsid w:val="00356C35"/>
    <w:rsid w:val="00360A6B"/>
    <w:rsid w:val="00366DCC"/>
    <w:rsid w:val="003672C2"/>
    <w:rsid w:val="00372644"/>
    <w:rsid w:val="0037440C"/>
    <w:rsid w:val="00375945"/>
    <w:rsid w:val="003774B4"/>
    <w:rsid w:val="0038417F"/>
    <w:rsid w:val="00386FCA"/>
    <w:rsid w:val="0038750E"/>
    <w:rsid w:val="00394726"/>
    <w:rsid w:val="00395C06"/>
    <w:rsid w:val="003975B6"/>
    <w:rsid w:val="003A1C5B"/>
    <w:rsid w:val="003A40ED"/>
    <w:rsid w:val="003A4825"/>
    <w:rsid w:val="003A640B"/>
    <w:rsid w:val="003A7599"/>
    <w:rsid w:val="003B181F"/>
    <w:rsid w:val="003B2E2D"/>
    <w:rsid w:val="003B7A9A"/>
    <w:rsid w:val="003C5FD7"/>
    <w:rsid w:val="003D0E79"/>
    <w:rsid w:val="003D125F"/>
    <w:rsid w:val="003D148D"/>
    <w:rsid w:val="003D7C31"/>
    <w:rsid w:val="003E3DD6"/>
    <w:rsid w:val="003E50B9"/>
    <w:rsid w:val="003E540D"/>
    <w:rsid w:val="003E7F6F"/>
    <w:rsid w:val="00400C54"/>
    <w:rsid w:val="00404AA2"/>
    <w:rsid w:val="00405694"/>
    <w:rsid w:val="00412AD0"/>
    <w:rsid w:val="00413A02"/>
    <w:rsid w:val="00415B46"/>
    <w:rsid w:val="004201CE"/>
    <w:rsid w:val="004250BE"/>
    <w:rsid w:val="004312DB"/>
    <w:rsid w:val="00432919"/>
    <w:rsid w:val="00432E3E"/>
    <w:rsid w:val="00433135"/>
    <w:rsid w:val="00436C97"/>
    <w:rsid w:val="00444153"/>
    <w:rsid w:val="004443F3"/>
    <w:rsid w:val="00446E12"/>
    <w:rsid w:val="004620CD"/>
    <w:rsid w:val="004655EE"/>
    <w:rsid w:val="0047523C"/>
    <w:rsid w:val="00481309"/>
    <w:rsid w:val="00483943"/>
    <w:rsid w:val="004849D3"/>
    <w:rsid w:val="00492EAB"/>
    <w:rsid w:val="00493A2A"/>
    <w:rsid w:val="004A2F05"/>
    <w:rsid w:val="004A48C0"/>
    <w:rsid w:val="004B4C30"/>
    <w:rsid w:val="004C0D1A"/>
    <w:rsid w:val="004C282D"/>
    <w:rsid w:val="004D2DF4"/>
    <w:rsid w:val="004E5766"/>
    <w:rsid w:val="004E76DF"/>
    <w:rsid w:val="004F1FD3"/>
    <w:rsid w:val="004F56E0"/>
    <w:rsid w:val="005016DB"/>
    <w:rsid w:val="005067CF"/>
    <w:rsid w:val="00507E3A"/>
    <w:rsid w:val="00507FC6"/>
    <w:rsid w:val="005134CB"/>
    <w:rsid w:val="00513F88"/>
    <w:rsid w:val="00515653"/>
    <w:rsid w:val="00516653"/>
    <w:rsid w:val="00516BC4"/>
    <w:rsid w:val="00520361"/>
    <w:rsid w:val="005232AC"/>
    <w:rsid w:val="0052498B"/>
    <w:rsid w:val="00526E9D"/>
    <w:rsid w:val="00530C42"/>
    <w:rsid w:val="00537AB5"/>
    <w:rsid w:val="0054026D"/>
    <w:rsid w:val="0054300C"/>
    <w:rsid w:val="00544D8A"/>
    <w:rsid w:val="00545AAC"/>
    <w:rsid w:val="005461D0"/>
    <w:rsid w:val="00546719"/>
    <w:rsid w:val="005468BF"/>
    <w:rsid w:val="00552EA3"/>
    <w:rsid w:val="00554688"/>
    <w:rsid w:val="00555A51"/>
    <w:rsid w:val="00565B63"/>
    <w:rsid w:val="00571E81"/>
    <w:rsid w:val="005729BC"/>
    <w:rsid w:val="00573EBE"/>
    <w:rsid w:val="00575824"/>
    <w:rsid w:val="00585621"/>
    <w:rsid w:val="00590AC7"/>
    <w:rsid w:val="00595A32"/>
    <w:rsid w:val="0059698E"/>
    <w:rsid w:val="005A4182"/>
    <w:rsid w:val="005A7712"/>
    <w:rsid w:val="005B0D0E"/>
    <w:rsid w:val="005B1425"/>
    <w:rsid w:val="005B6E05"/>
    <w:rsid w:val="005B70B7"/>
    <w:rsid w:val="005C54A5"/>
    <w:rsid w:val="005C7275"/>
    <w:rsid w:val="005D18C3"/>
    <w:rsid w:val="005D2289"/>
    <w:rsid w:val="005D5C3F"/>
    <w:rsid w:val="005E77D2"/>
    <w:rsid w:val="005F04CC"/>
    <w:rsid w:val="005F0AF7"/>
    <w:rsid w:val="005F104E"/>
    <w:rsid w:val="005F158A"/>
    <w:rsid w:val="005F3949"/>
    <w:rsid w:val="00602D88"/>
    <w:rsid w:val="00604BE0"/>
    <w:rsid w:val="00622C25"/>
    <w:rsid w:val="006233C3"/>
    <w:rsid w:val="00623B05"/>
    <w:rsid w:val="00623D89"/>
    <w:rsid w:val="00624B38"/>
    <w:rsid w:val="00631289"/>
    <w:rsid w:val="00633934"/>
    <w:rsid w:val="006435F2"/>
    <w:rsid w:val="00650E20"/>
    <w:rsid w:val="00652025"/>
    <w:rsid w:val="0065661C"/>
    <w:rsid w:val="00657EEF"/>
    <w:rsid w:val="00660548"/>
    <w:rsid w:val="0066148D"/>
    <w:rsid w:val="006622D8"/>
    <w:rsid w:val="00662841"/>
    <w:rsid w:val="00663582"/>
    <w:rsid w:val="006669EF"/>
    <w:rsid w:val="00667BD3"/>
    <w:rsid w:val="00671188"/>
    <w:rsid w:val="006733C1"/>
    <w:rsid w:val="00680361"/>
    <w:rsid w:val="00683864"/>
    <w:rsid w:val="006850DA"/>
    <w:rsid w:val="00687970"/>
    <w:rsid w:val="0069053C"/>
    <w:rsid w:val="006A0958"/>
    <w:rsid w:val="006A14DC"/>
    <w:rsid w:val="006A5E4E"/>
    <w:rsid w:val="006A6006"/>
    <w:rsid w:val="006A64F2"/>
    <w:rsid w:val="006B0C48"/>
    <w:rsid w:val="006B1AEB"/>
    <w:rsid w:val="006B49D2"/>
    <w:rsid w:val="006B5405"/>
    <w:rsid w:val="006C2EED"/>
    <w:rsid w:val="006C349E"/>
    <w:rsid w:val="006C660F"/>
    <w:rsid w:val="006D2884"/>
    <w:rsid w:val="006D40D5"/>
    <w:rsid w:val="006D53F0"/>
    <w:rsid w:val="006D67F9"/>
    <w:rsid w:val="006E0FC8"/>
    <w:rsid w:val="006F2630"/>
    <w:rsid w:val="006F40A0"/>
    <w:rsid w:val="00700A42"/>
    <w:rsid w:val="00701852"/>
    <w:rsid w:val="00713075"/>
    <w:rsid w:val="00725E32"/>
    <w:rsid w:val="007275A4"/>
    <w:rsid w:val="0074192C"/>
    <w:rsid w:val="0074386F"/>
    <w:rsid w:val="007439E1"/>
    <w:rsid w:val="00746952"/>
    <w:rsid w:val="00747994"/>
    <w:rsid w:val="00751CC4"/>
    <w:rsid w:val="00753ACA"/>
    <w:rsid w:val="00755A1F"/>
    <w:rsid w:val="00755DDA"/>
    <w:rsid w:val="00756F3E"/>
    <w:rsid w:val="00766839"/>
    <w:rsid w:val="0077050B"/>
    <w:rsid w:val="00772C8E"/>
    <w:rsid w:val="007800B6"/>
    <w:rsid w:val="00794AD7"/>
    <w:rsid w:val="007A43EC"/>
    <w:rsid w:val="007A4DF0"/>
    <w:rsid w:val="007A6111"/>
    <w:rsid w:val="007B4DD9"/>
    <w:rsid w:val="007C0428"/>
    <w:rsid w:val="007C1AC9"/>
    <w:rsid w:val="007C7098"/>
    <w:rsid w:val="007D3680"/>
    <w:rsid w:val="007D4FBA"/>
    <w:rsid w:val="007E0F9A"/>
    <w:rsid w:val="007E4228"/>
    <w:rsid w:val="007F0CD3"/>
    <w:rsid w:val="007F2B65"/>
    <w:rsid w:val="007F2D4B"/>
    <w:rsid w:val="007F3FEE"/>
    <w:rsid w:val="00803596"/>
    <w:rsid w:val="0080629D"/>
    <w:rsid w:val="008159CC"/>
    <w:rsid w:val="00817494"/>
    <w:rsid w:val="0082155D"/>
    <w:rsid w:val="00821810"/>
    <w:rsid w:val="00823258"/>
    <w:rsid w:val="00825254"/>
    <w:rsid w:val="00827ECE"/>
    <w:rsid w:val="00827FA1"/>
    <w:rsid w:val="00833E25"/>
    <w:rsid w:val="00834451"/>
    <w:rsid w:val="008347BB"/>
    <w:rsid w:val="00835261"/>
    <w:rsid w:val="0083533A"/>
    <w:rsid w:val="008466EA"/>
    <w:rsid w:val="00851975"/>
    <w:rsid w:val="0085398C"/>
    <w:rsid w:val="00861CC0"/>
    <w:rsid w:val="00863C68"/>
    <w:rsid w:val="0086581E"/>
    <w:rsid w:val="008659C5"/>
    <w:rsid w:val="00870B97"/>
    <w:rsid w:val="00870D97"/>
    <w:rsid w:val="0087523D"/>
    <w:rsid w:val="008767F9"/>
    <w:rsid w:val="00876E92"/>
    <w:rsid w:val="00882BE3"/>
    <w:rsid w:val="0088457F"/>
    <w:rsid w:val="00884FB4"/>
    <w:rsid w:val="00894106"/>
    <w:rsid w:val="008A19F1"/>
    <w:rsid w:val="008A6D61"/>
    <w:rsid w:val="008B1D23"/>
    <w:rsid w:val="008B2598"/>
    <w:rsid w:val="008B4586"/>
    <w:rsid w:val="008B5380"/>
    <w:rsid w:val="008B6174"/>
    <w:rsid w:val="008C1FA4"/>
    <w:rsid w:val="008D00C0"/>
    <w:rsid w:val="008D647A"/>
    <w:rsid w:val="008D7E6C"/>
    <w:rsid w:val="008E5CFB"/>
    <w:rsid w:val="008F17F1"/>
    <w:rsid w:val="008F2F3F"/>
    <w:rsid w:val="008F4FC0"/>
    <w:rsid w:val="00900461"/>
    <w:rsid w:val="009013DE"/>
    <w:rsid w:val="0090319D"/>
    <w:rsid w:val="00905CF0"/>
    <w:rsid w:val="00907DF5"/>
    <w:rsid w:val="0091084B"/>
    <w:rsid w:val="00912980"/>
    <w:rsid w:val="00912A27"/>
    <w:rsid w:val="009176B3"/>
    <w:rsid w:val="00921725"/>
    <w:rsid w:val="009234A3"/>
    <w:rsid w:val="00931319"/>
    <w:rsid w:val="00932050"/>
    <w:rsid w:val="00932E90"/>
    <w:rsid w:val="00936629"/>
    <w:rsid w:val="00940464"/>
    <w:rsid w:val="00945081"/>
    <w:rsid w:val="009466F1"/>
    <w:rsid w:val="0095422B"/>
    <w:rsid w:val="00954515"/>
    <w:rsid w:val="0095615A"/>
    <w:rsid w:val="00957299"/>
    <w:rsid w:val="00957D93"/>
    <w:rsid w:val="00960330"/>
    <w:rsid w:val="0096284C"/>
    <w:rsid w:val="009640F2"/>
    <w:rsid w:val="00973702"/>
    <w:rsid w:val="0097394C"/>
    <w:rsid w:val="00980DD6"/>
    <w:rsid w:val="00981F17"/>
    <w:rsid w:val="009821A5"/>
    <w:rsid w:val="0098296C"/>
    <w:rsid w:val="00982F03"/>
    <w:rsid w:val="009848D5"/>
    <w:rsid w:val="009854E8"/>
    <w:rsid w:val="00986479"/>
    <w:rsid w:val="00987979"/>
    <w:rsid w:val="00991559"/>
    <w:rsid w:val="00991AB6"/>
    <w:rsid w:val="009936A6"/>
    <w:rsid w:val="009A228C"/>
    <w:rsid w:val="009A2B66"/>
    <w:rsid w:val="009B3F03"/>
    <w:rsid w:val="009B5011"/>
    <w:rsid w:val="009C0A2E"/>
    <w:rsid w:val="009C2406"/>
    <w:rsid w:val="009C37C9"/>
    <w:rsid w:val="009D3ACC"/>
    <w:rsid w:val="009E03A0"/>
    <w:rsid w:val="009E216A"/>
    <w:rsid w:val="009E340C"/>
    <w:rsid w:val="009F1772"/>
    <w:rsid w:val="00A03285"/>
    <w:rsid w:val="00A11D70"/>
    <w:rsid w:val="00A122FC"/>
    <w:rsid w:val="00A200E9"/>
    <w:rsid w:val="00A21D75"/>
    <w:rsid w:val="00A25C7D"/>
    <w:rsid w:val="00A50AFD"/>
    <w:rsid w:val="00A54C35"/>
    <w:rsid w:val="00A56937"/>
    <w:rsid w:val="00A56C04"/>
    <w:rsid w:val="00A56CD5"/>
    <w:rsid w:val="00A57AF4"/>
    <w:rsid w:val="00A60011"/>
    <w:rsid w:val="00A640DE"/>
    <w:rsid w:val="00A66F19"/>
    <w:rsid w:val="00A722B6"/>
    <w:rsid w:val="00A73B0F"/>
    <w:rsid w:val="00A75AC7"/>
    <w:rsid w:val="00A77732"/>
    <w:rsid w:val="00A85F4C"/>
    <w:rsid w:val="00A85FF7"/>
    <w:rsid w:val="00A90E04"/>
    <w:rsid w:val="00A91344"/>
    <w:rsid w:val="00A95B19"/>
    <w:rsid w:val="00A95C77"/>
    <w:rsid w:val="00AA197A"/>
    <w:rsid w:val="00AA4777"/>
    <w:rsid w:val="00AA4A65"/>
    <w:rsid w:val="00AA55DF"/>
    <w:rsid w:val="00AB3A74"/>
    <w:rsid w:val="00AB6CF8"/>
    <w:rsid w:val="00AC025E"/>
    <w:rsid w:val="00AC588D"/>
    <w:rsid w:val="00AC611C"/>
    <w:rsid w:val="00AD22C7"/>
    <w:rsid w:val="00AD3858"/>
    <w:rsid w:val="00AD5095"/>
    <w:rsid w:val="00AE27CA"/>
    <w:rsid w:val="00AE29B2"/>
    <w:rsid w:val="00AE3D4F"/>
    <w:rsid w:val="00AE4DF4"/>
    <w:rsid w:val="00AE7A84"/>
    <w:rsid w:val="00AF09F3"/>
    <w:rsid w:val="00AF2D38"/>
    <w:rsid w:val="00B07A24"/>
    <w:rsid w:val="00B1116B"/>
    <w:rsid w:val="00B132E8"/>
    <w:rsid w:val="00B17B12"/>
    <w:rsid w:val="00B224DF"/>
    <w:rsid w:val="00B25F32"/>
    <w:rsid w:val="00B3145C"/>
    <w:rsid w:val="00B37B05"/>
    <w:rsid w:val="00B423CC"/>
    <w:rsid w:val="00B50927"/>
    <w:rsid w:val="00B50D39"/>
    <w:rsid w:val="00B60C28"/>
    <w:rsid w:val="00B666AF"/>
    <w:rsid w:val="00B75C9C"/>
    <w:rsid w:val="00B850FD"/>
    <w:rsid w:val="00B856BD"/>
    <w:rsid w:val="00B929C5"/>
    <w:rsid w:val="00B94C92"/>
    <w:rsid w:val="00B96173"/>
    <w:rsid w:val="00BA2D3E"/>
    <w:rsid w:val="00BA505D"/>
    <w:rsid w:val="00BA76ED"/>
    <w:rsid w:val="00BA783C"/>
    <w:rsid w:val="00BB2351"/>
    <w:rsid w:val="00BB4388"/>
    <w:rsid w:val="00BB54DE"/>
    <w:rsid w:val="00BB7757"/>
    <w:rsid w:val="00BC133E"/>
    <w:rsid w:val="00BE30CA"/>
    <w:rsid w:val="00BF33F4"/>
    <w:rsid w:val="00BF3892"/>
    <w:rsid w:val="00C1556B"/>
    <w:rsid w:val="00C158C5"/>
    <w:rsid w:val="00C161D6"/>
    <w:rsid w:val="00C17175"/>
    <w:rsid w:val="00C217E9"/>
    <w:rsid w:val="00C2339C"/>
    <w:rsid w:val="00C27A9D"/>
    <w:rsid w:val="00C27CD2"/>
    <w:rsid w:val="00C3160D"/>
    <w:rsid w:val="00C34DAF"/>
    <w:rsid w:val="00C41B1A"/>
    <w:rsid w:val="00C42C1B"/>
    <w:rsid w:val="00C4402D"/>
    <w:rsid w:val="00C47279"/>
    <w:rsid w:val="00C51565"/>
    <w:rsid w:val="00C523B4"/>
    <w:rsid w:val="00C54359"/>
    <w:rsid w:val="00C55766"/>
    <w:rsid w:val="00C60F89"/>
    <w:rsid w:val="00C6411C"/>
    <w:rsid w:val="00C80084"/>
    <w:rsid w:val="00C81DD9"/>
    <w:rsid w:val="00C856A7"/>
    <w:rsid w:val="00C93511"/>
    <w:rsid w:val="00C94C96"/>
    <w:rsid w:val="00CA06A8"/>
    <w:rsid w:val="00CA712B"/>
    <w:rsid w:val="00CB13A8"/>
    <w:rsid w:val="00CB1B86"/>
    <w:rsid w:val="00CC15AB"/>
    <w:rsid w:val="00CC3EFD"/>
    <w:rsid w:val="00CC666A"/>
    <w:rsid w:val="00CD0332"/>
    <w:rsid w:val="00CD0583"/>
    <w:rsid w:val="00CD7C6E"/>
    <w:rsid w:val="00CD7E3B"/>
    <w:rsid w:val="00CE2B2F"/>
    <w:rsid w:val="00CE74FB"/>
    <w:rsid w:val="00CF635C"/>
    <w:rsid w:val="00D008C1"/>
    <w:rsid w:val="00D00BDC"/>
    <w:rsid w:val="00D14EA0"/>
    <w:rsid w:val="00D21E5D"/>
    <w:rsid w:val="00D220BC"/>
    <w:rsid w:val="00D34AD1"/>
    <w:rsid w:val="00D3509E"/>
    <w:rsid w:val="00D37593"/>
    <w:rsid w:val="00D37621"/>
    <w:rsid w:val="00D4440E"/>
    <w:rsid w:val="00D471F5"/>
    <w:rsid w:val="00D474F2"/>
    <w:rsid w:val="00D50471"/>
    <w:rsid w:val="00D507B8"/>
    <w:rsid w:val="00D53642"/>
    <w:rsid w:val="00D622FD"/>
    <w:rsid w:val="00D6314E"/>
    <w:rsid w:val="00D677E4"/>
    <w:rsid w:val="00D776DA"/>
    <w:rsid w:val="00D84B67"/>
    <w:rsid w:val="00D87323"/>
    <w:rsid w:val="00D91273"/>
    <w:rsid w:val="00D916A4"/>
    <w:rsid w:val="00D94240"/>
    <w:rsid w:val="00D95AE4"/>
    <w:rsid w:val="00DA2F49"/>
    <w:rsid w:val="00DA32C6"/>
    <w:rsid w:val="00DA51DE"/>
    <w:rsid w:val="00DB3CD0"/>
    <w:rsid w:val="00DB7791"/>
    <w:rsid w:val="00DC01FC"/>
    <w:rsid w:val="00DC4F04"/>
    <w:rsid w:val="00DC52D8"/>
    <w:rsid w:val="00DC5700"/>
    <w:rsid w:val="00DE0753"/>
    <w:rsid w:val="00DF563F"/>
    <w:rsid w:val="00DF635E"/>
    <w:rsid w:val="00DF68B6"/>
    <w:rsid w:val="00DF776C"/>
    <w:rsid w:val="00DF7E5E"/>
    <w:rsid w:val="00E14DEB"/>
    <w:rsid w:val="00E217D5"/>
    <w:rsid w:val="00E26AA7"/>
    <w:rsid w:val="00E328ED"/>
    <w:rsid w:val="00E3414C"/>
    <w:rsid w:val="00E34AF8"/>
    <w:rsid w:val="00E3519E"/>
    <w:rsid w:val="00E42F22"/>
    <w:rsid w:val="00E46930"/>
    <w:rsid w:val="00E61738"/>
    <w:rsid w:val="00E624A4"/>
    <w:rsid w:val="00E63437"/>
    <w:rsid w:val="00E70241"/>
    <w:rsid w:val="00E709E0"/>
    <w:rsid w:val="00E80F69"/>
    <w:rsid w:val="00E80FE5"/>
    <w:rsid w:val="00E81BBD"/>
    <w:rsid w:val="00E971CB"/>
    <w:rsid w:val="00EA2784"/>
    <w:rsid w:val="00EA2B3C"/>
    <w:rsid w:val="00EA5F59"/>
    <w:rsid w:val="00EA7B75"/>
    <w:rsid w:val="00EB059F"/>
    <w:rsid w:val="00EB23F5"/>
    <w:rsid w:val="00EC1CEB"/>
    <w:rsid w:val="00EC508F"/>
    <w:rsid w:val="00EC56A8"/>
    <w:rsid w:val="00ED0492"/>
    <w:rsid w:val="00ED13C4"/>
    <w:rsid w:val="00ED190F"/>
    <w:rsid w:val="00ED2FA4"/>
    <w:rsid w:val="00ED72FE"/>
    <w:rsid w:val="00EE05E4"/>
    <w:rsid w:val="00EE0C05"/>
    <w:rsid w:val="00EE12E7"/>
    <w:rsid w:val="00EE13FD"/>
    <w:rsid w:val="00EE2968"/>
    <w:rsid w:val="00EE4832"/>
    <w:rsid w:val="00EF1537"/>
    <w:rsid w:val="00EF1DCF"/>
    <w:rsid w:val="00F0039A"/>
    <w:rsid w:val="00F01378"/>
    <w:rsid w:val="00F11404"/>
    <w:rsid w:val="00F15A05"/>
    <w:rsid w:val="00F166DE"/>
    <w:rsid w:val="00F24D68"/>
    <w:rsid w:val="00F266BF"/>
    <w:rsid w:val="00F3187A"/>
    <w:rsid w:val="00F32F77"/>
    <w:rsid w:val="00F438AF"/>
    <w:rsid w:val="00F44BF4"/>
    <w:rsid w:val="00F53A0E"/>
    <w:rsid w:val="00F5461C"/>
    <w:rsid w:val="00F55088"/>
    <w:rsid w:val="00F56958"/>
    <w:rsid w:val="00F609CC"/>
    <w:rsid w:val="00F6714C"/>
    <w:rsid w:val="00F714AF"/>
    <w:rsid w:val="00F716B5"/>
    <w:rsid w:val="00F8308E"/>
    <w:rsid w:val="00F839BF"/>
    <w:rsid w:val="00F83BDA"/>
    <w:rsid w:val="00F8601A"/>
    <w:rsid w:val="00F870DF"/>
    <w:rsid w:val="00F873B3"/>
    <w:rsid w:val="00F92560"/>
    <w:rsid w:val="00FA22FD"/>
    <w:rsid w:val="00FA327F"/>
    <w:rsid w:val="00FA4652"/>
    <w:rsid w:val="00FB50E4"/>
    <w:rsid w:val="00FB54B0"/>
    <w:rsid w:val="00FB59FB"/>
    <w:rsid w:val="00FB66B7"/>
    <w:rsid w:val="00FB7479"/>
    <w:rsid w:val="00FC080F"/>
    <w:rsid w:val="00FC0BA9"/>
    <w:rsid w:val="00FC48DC"/>
    <w:rsid w:val="00FC53A4"/>
    <w:rsid w:val="00FC56C7"/>
    <w:rsid w:val="00FC6DC7"/>
    <w:rsid w:val="00FD0865"/>
    <w:rsid w:val="00FD6036"/>
    <w:rsid w:val="00FE18C7"/>
    <w:rsid w:val="00FE2BA5"/>
    <w:rsid w:val="00FE5A57"/>
    <w:rsid w:val="00FE660E"/>
    <w:rsid w:val="00FF0CA9"/>
    <w:rsid w:val="00FF1CF1"/>
    <w:rsid w:val="00FF217F"/>
    <w:rsid w:val="00FF4A1A"/>
    <w:rsid w:val="47038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4602D2"/>
  <w15:chartTrackingRefBased/>
  <w15:docId w15:val="{F7BF42AA-9D31-42E8-954E-1D2F2154A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C20"/>
    <w:pPr>
      <w:spacing w:after="180" w:line="288" w:lineRule="auto"/>
    </w:pPr>
    <w:rPr>
      <w:rFonts w:ascii="Myriad Pro" w:hAnsi="Myriad Pro"/>
      <w:color w:val="262626" w:themeColor="text1" w:themeTint="D9"/>
      <w:sz w:val="20"/>
    </w:rPr>
  </w:style>
  <w:style w:type="paragraph" w:styleId="Heading1">
    <w:name w:val="heading 1"/>
    <w:aliases w:val="H1-Chap. Head"/>
    <w:basedOn w:val="Normal"/>
    <w:link w:val="Heading1Char"/>
    <w:uiPriority w:val="9"/>
    <w:qFormat/>
    <w:rsid w:val="001F610A"/>
    <w:pPr>
      <w:keepNext/>
      <w:keepLines/>
      <w:autoSpaceDE w:val="0"/>
      <w:autoSpaceDN w:val="0"/>
      <w:adjustRightInd w:val="0"/>
      <w:spacing w:line="480" w:lineRule="atLeast"/>
      <w:jc w:val="center"/>
      <w:textAlignment w:val="center"/>
      <w:outlineLvl w:val="0"/>
    </w:pPr>
    <w:rPr>
      <w:rFonts w:asciiTheme="minorHAnsi" w:eastAsiaTheme="majorEastAsia" w:hAnsiTheme="minorHAnsi" w:cstheme="minorHAnsi"/>
      <w:b/>
      <w:bCs/>
      <w:color w:val="01579B"/>
      <w:sz w:val="44"/>
      <w:szCs w:val="44"/>
    </w:rPr>
  </w:style>
  <w:style w:type="paragraph" w:styleId="Heading2">
    <w:name w:val="heading 2"/>
    <w:aliases w:val="H2-Sec. Head"/>
    <w:basedOn w:val="Heading1"/>
    <w:next w:val="L1-FlLSp12"/>
    <w:link w:val="Heading2Char"/>
    <w:uiPriority w:val="9"/>
    <w:qFormat/>
    <w:rsid w:val="001F610A"/>
    <w:pPr>
      <w:jc w:val="left"/>
      <w:outlineLvl w:val="1"/>
    </w:pPr>
    <w:rPr>
      <w:bCs w:val="0"/>
      <w:sz w:val="40"/>
      <w:szCs w:val="40"/>
    </w:rPr>
  </w:style>
  <w:style w:type="paragraph" w:styleId="Heading3">
    <w:name w:val="heading 3"/>
    <w:aliases w:val="H3-Sec. Head"/>
    <w:basedOn w:val="Heading2"/>
    <w:next w:val="L1-FlLSp12"/>
    <w:link w:val="Heading3Char"/>
    <w:qFormat/>
    <w:rsid w:val="001F610A"/>
    <w:pPr>
      <w:autoSpaceDE/>
      <w:autoSpaceDN/>
      <w:adjustRightInd/>
      <w:spacing w:before="240" w:line="400" w:lineRule="atLeast"/>
      <w:textAlignment w:val="auto"/>
      <w:outlineLvl w:val="2"/>
    </w:pPr>
    <w:rPr>
      <w:b w:val="0"/>
      <w:bCs/>
      <w:sz w:val="36"/>
      <w:szCs w:val="26"/>
    </w:rPr>
  </w:style>
  <w:style w:type="paragraph" w:styleId="Heading4">
    <w:name w:val="heading 4"/>
    <w:aliases w:val="H4-Sec. Head"/>
    <w:basedOn w:val="Normal"/>
    <w:next w:val="L1-FlLSp12"/>
    <w:link w:val="Heading4Char"/>
    <w:qFormat/>
    <w:rsid w:val="001F610A"/>
    <w:pPr>
      <w:keepNext/>
      <w:keepLines/>
      <w:spacing w:before="240" w:line="360" w:lineRule="atLeast"/>
      <w:outlineLvl w:val="3"/>
    </w:pPr>
    <w:rPr>
      <w:rFonts w:asciiTheme="minorHAnsi" w:eastAsia="Times New Roman" w:hAnsiTheme="minorHAnsi" w:cstheme="minorHAnsi"/>
      <w:color w:val="01579B"/>
      <w:sz w:val="30"/>
    </w:rPr>
  </w:style>
  <w:style w:type="paragraph" w:styleId="Heading5">
    <w:name w:val="heading 5"/>
    <w:aliases w:val="H5-Sec. Head"/>
    <w:basedOn w:val="Normal"/>
    <w:next w:val="L1-FlLSp12"/>
    <w:link w:val="Heading5Char"/>
    <w:qFormat/>
    <w:rsid w:val="001F610A"/>
    <w:pPr>
      <w:keepNext/>
      <w:keepLines/>
      <w:spacing w:before="240" w:line="300" w:lineRule="atLeast"/>
      <w:outlineLvl w:val="4"/>
    </w:pPr>
    <w:rPr>
      <w:rFonts w:asciiTheme="minorHAnsi" w:eastAsia="Times New Roman" w:hAnsiTheme="minorHAnsi" w:cstheme="minorHAnsi"/>
      <w:iCs/>
      <w:color w:val="01579B"/>
      <w:sz w:val="24"/>
    </w:rPr>
  </w:style>
  <w:style w:type="paragraph" w:styleId="Heading6">
    <w:name w:val="heading 6"/>
    <w:basedOn w:val="Normal"/>
    <w:next w:val="Normal"/>
    <w:link w:val="Heading6Char"/>
    <w:qFormat/>
    <w:rsid w:val="001F610A"/>
    <w:pPr>
      <w:keepNext/>
      <w:keepLines/>
      <w:spacing w:before="240" w:line="280" w:lineRule="atLeast"/>
      <w:outlineLvl w:val="5"/>
    </w:pPr>
    <w:rPr>
      <w:rFonts w:asciiTheme="minorHAnsi" w:eastAsia="Times New Roman" w:hAnsiTheme="minorHAnsi" w:cstheme="minorHAnsi"/>
      <w:b/>
      <w:color w:val="01579B"/>
      <w:sz w:val="21"/>
      <w:szCs w:val="21"/>
    </w:rPr>
  </w:style>
  <w:style w:type="paragraph" w:styleId="Heading7">
    <w:name w:val="heading 7"/>
    <w:basedOn w:val="Normal"/>
    <w:next w:val="Normal"/>
    <w:link w:val="Heading7Char"/>
    <w:qFormat/>
    <w:rsid w:val="001F610A"/>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F610A"/>
  </w:style>
  <w:style w:type="character" w:customStyle="1" w:styleId="HeaderChar">
    <w:name w:val="Header Char"/>
    <w:basedOn w:val="DefaultParagraphFont"/>
    <w:link w:val="Header"/>
    <w:rsid w:val="001F610A"/>
    <w:rPr>
      <w:rFonts w:ascii="Myriad Pro" w:hAnsi="Myriad Pro"/>
      <w:color w:val="262626" w:themeColor="text1" w:themeTint="D9"/>
      <w:sz w:val="20"/>
    </w:rPr>
  </w:style>
  <w:style w:type="paragraph" w:styleId="Footer">
    <w:name w:val="footer"/>
    <w:basedOn w:val="Normal"/>
    <w:link w:val="FooterChar"/>
    <w:rsid w:val="001F610A"/>
  </w:style>
  <w:style w:type="character" w:customStyle="1" w:styleId="FooterChar">
    <w:name w:val="Footer Char"/>
    <w:basedOn w:val="DefaultParagraphFont"/>
    <w:link w:val="Footer"/>
    <w:rsid w:val="001F610A"/>
    <w:rPr>
      <w:rFonts w:ascii="Myriad Pro" w:hAnsi="Myriad Pro"/>
      <w:color w:val="262626" w:themeColor="text1" w:themeTint="D9"/>
      <w:sz w:val="20"/>
    </w:rPr>
  </w:style>
  <w:style w:type="table" w:styleId="TableGrid">
    <w:name w:val="Table Grid"/>
    <w:basedOn w:val="TableNormal"/>
    <w:uiPriority w:val="39"/>
    <w:rsid w:val="001F610A"/>
    <w:rPr>
      <w:rFonts w:ascii="Calibri" w:eastAsia="Calibri" w:hAnsi="Calibri" w:cs="Times New Roman"/>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1Horz">
      <w:rPr>
        <w:rFonts w:ascii="Calibri" w:hAnsi="Calibri"/>
        <w:sz w:val="20"/>
      </w:rPr>
    </w:tblStylePr>
    <w:tblStylePr w:type="band2Horz">
      <w:rPr>
        <w:rFonts w:asciiTheme="minorHAnsi" w:hAnsiTheme="minorHAnsi"/>
        <w:sz w:val="20"/>
      </w:rPr>
    </w:tblStylePr>
  </w:style>
  <w:style w:type="character" w:customStyle="1" w:styleId="Heading1Char">
    <w:name w:val="Heading 1 Char"/>
    <w:aliases w:val="H1-Chap. Head Char"/>
    <w:basedOn w:val="DefaultParagraphFont"/>
    <w:link w:val="Heading1"/>
    <w:uiPriority w:val="9"/>
    <w:rsid w:val="001F610A"/>
    <w:rPr>
      <w:rFonts w:eastAsiaTheme="majorEastAsia" w:cstheme="minorHAnsi"/>
      <w:b/>
      <w:bCs/>
      <w:color w:val="01579B"/>
      <w:sz w:val="44"/>
      <w:szCs w:val="44"/>
    </w:rPr>
  </w:style>
  <w:style w:type="character" w:customStyle="1" w:styleId="Heading2Char">
    <w:name w:val="Heading 2 Char"/>
    <w:aliases w:val="H2-Sec. Head Char"/>
    <w:basedOn w:val="DefaultParagraphFont"/>
    <w:link w:val="Heading2"/>
    <w:uiPriority w:val="9"/>
    <w:rsid w:val="001F610A"/>
    <w:rPr>
      <w:rFonts w:eastAsiaTheme="majorEastAsia" w:cstheme="minorHAnsi"/>
      <w:b/>
      <w:color w:val="01579B"/>
      <w:sz w:val="40"/>
      <w:szCs w:val="40"/>
    </w:rPr>
  </w:style>
  <w:style w:type="paragraph" w:styleId="ListParagraph">
    <w:name w:val="List Paragraph"/>
    <w:basedOn w:val="Normal"/>
    <w:uiPriority w:val="34"/>
    <w:qFormat/>
    <w:rsid w:val="001F610A"/>
    <w:pPr>
      <w:numPr>
        <w:numId w:val="15"/>
      </w:numPr>
      <w:spacing w:after="0"/>
      <w:contextualSpacing/>
    </w:pPr>
  </w:style>
  <w:style w:type="paragraph" w:styleId="ListBullet">
    <w:name w:val="List Bullet"/>
    <w:aliases w:val="LB-List Bullet"/>
    <w:basedOn w:val="ListBullet2"/>
    <w:uiPriority w:val="99"/>
    <w:unhideWhenUsed/>
    <w:rsid w:val="001F610A"/>
    <w:pPr>
      <w:numPr>
        <w:ilvl w:val="0"/>
      </w:numPr>
    </w:pPr>
  </w:style>
  <w:style w:type="paragraph" w:styleId="ListBullet2">
    <w:name w:val="List Bullet 2"/>
    <w:aliases w:val="L2-List Bullet 2"/>
    <w:basedOn w:val="ListBullet3"/>
    <w:uiPriority w:val="99"/>
    <w:unhideWhenUsed/>
    <w:rsid w:val="001F610A"/>
    <w:pPr>
      <w:numPr>
        <w:ilvl w:val="1"/>
      </w:numPr>
    </w:pPr>
  </w:style>
  <w:style w:type="character" w:customStyle="1" w:styleId="Heading3Char">
    <w:name w:val="Heading 3 Char"/>
    <w:aliases w:val="H3-Sec. Head Char"/>
    <w:basedOn w:val="DefaultParagraphFont"/>
    <w:link w:val="Heading3"/>
    <w:rsid w:val="001F610A"/>
    <w:rPr>
      <w:rFonts w:eastAsiaTheme="majorEastAsia" w:cstheme="minorHAnsi"/>
      <w:bCs/>
      <w:color w:val="01579B"/>
      <w:sz w:val="36"/>
      <w:szCs w:val="26"/>
    </w:rPr>
  </w:style>
  <w:style w:type="character" w:styleId="PageNumber">
    <w:name w:val="page number"/>
    <w:basedOn w:val="DefaultParagraphFont"/>
    <w:rsid w:val="001F610A"/>
  </w:style>
  <w:style w:type="character" w:styleId="Hyperlink">
    <w:name w:val="Hyperlink"/>
    <w:basedOn w:val="DefaultParagraphFont"/>
    <w:uiPriority w:val="99"/>
    <w:unhideWhenUsed/>
    <w:rsid w:val="001F610A"/>
    <w:rPr>
      <w:rFonts w:asciiTheme="minorHAnsi" w:hAnsiTheme="minorHAnsi"/>
      <w:color w:val="0563C1" w:themeColor="hyperlink"/>
      <w:sz w:val="21"/>
      <w:u w:val="single"/>
    </w:rPr>
  </w:style>
  <w:style w:type="character" w:styleId="CommentReference">
    <w:name w:val="annotation reference"/>
    <w:basedOn w:val="DefaultParagraphFont"/>
    <w:uiPriority w:val="99"/>
    <w:semiHidden/>
    <w:unhideWhenUsed/>
    <w:rsid w:val="001F610A"/>
    <w:rPr>
      <w:sz w:val="16"/>
      <w:szCs w:val="16"/>
    </w:rPr>
  </w:style>
  <w:style w:type="paragraph" w:styleId="CommentText">
    <w:name w:val="annotation text"/>
    <w:basedOn w:val="Normal"/>
    <w:link w:val="CommentTextChar"/>
    <w:uiPriority w:val="99"/>
    <w:unhideWhenUsed/>
    <w:rsid w:val="001F610A"/>
    <w:pPr>
      <w:spacing w:after="200" w:line="240" w:lineRule="auto"/>
    </w:pPr>
    <w:rPr>
      <w:rFonts w:asciiTheme="minorHAnsi" w:hAnsiTheme="minorHAnsi"/>
      <w:color w:val="auto"/>
    </w:rPr>
  </w:style>
  <w:style w:type="character" w:customStyle="1" w:styleId="CommentTextChar">
    <w:name w:val="Comment Text Char"/>
    <w:basedOn w:val="DefaultParagraphFont"/>
    <w:link w:val="CommentText"/>
    <w:uiPriority w:val="99"/>
    <w:rsid w:val="001F610A"/>
    <w:rPr>
      <w:sz w:val="20"/>
    </w:rPr>
  </w:style>
  <w:style w:type="paragraph" w:styleId="CommentSubject">
    <w:name w:val="annotation subject"/>
    <w:basedOn w:val="CommentText"/>
    <w:next w:val="CommentText"/>
    <w:link w:val="CommentSubjectChar"/>
    <w:uiPriority w:val="99"/>
    <w:semiHidden/>
    <w:unhideWhenUsed/>
    <w:rsid w:val="008159CC"/>
    <w:rPr>
      <w:b/>
      <w:bCs/>
    </w:rPr>
  </w:style>
  <w:style w:type="character" w:customStyle="1" w:styleId="CommentSubjectChar">
    <w:name w:val="Comment Subject Char"/>
    <w:basedOn w:val="CommentTextChar"/>
    <w:link w:val="CommentSubject"/>
    <w:uiPriority w:val="99"/>
    <w:semiHidden/>
    <w:rsid w:val="008159CC"/>
    <w:rPr>
      <w:rFonts w:ascii="Myriad Pro" w:hAnsi="Myriad Pro" w:cs="Open Sans"/>
      <w:b/>
      <w:bCs/>
      <w:color w:val="000000" w:themeColor="text1"/>
      <w:sz w:val="20"/>
      <w:szCs w:val="20"/>
    </w:rPr>
  </w:style>
  <w:style w:type="paragraph" w:styleId="BalloonText">
    <w:name w:val="Balloon Text"/>
    <w:basedOn w:val="Normal"/>
    <w:link w:val="BalloonTextChar"/>
    <w:uiPriority w:val="99"/>
    <w:semiHidden/>
    <w:unhideWhenUsed/>
    <w:rsid w:val="001F610A"/>
    <w:pPr>
      <w:spacing w:line="240" w:lineRule="auto"/>
    </w:pPr>
    <w:rPr>
      <w:rFonts w:ascii="Times New Roman" w:hAnsi="Times New Roman" w:cs="Tahoma"/>
      <w:szCs w:val="16"/>
    </w:rPr>
  </w:style>
  <w:style w:type="character" w:customStyle="1" w:styleId="BalloonTextChar">
    <w:name w:val="Balloon Text Char"/>
    <w:basedOn w:val="DefaultParagraphFont"/>
    <w:link w:val="BalloonText"/>
    <w:uiPriority w:val="99"/>
    <w:semiHidden/>
    <w:rsid w:val="001F610A"/>
    <w:rPr>
      <w:rFonts w:ascii="Times New Roman" w:hAnsi="Times New Roman" w:cs="Tahoma"/>
      <w:color w:val="262626" w:themeColor="text1" w:themeTint="D9"/>
      <w:sz w:val="20"/>
      <w:szCs w:val="16"/>
    </w:rPr>
  </w:style>
  <w:style w:type="paragraph" w:styleId="FootnoteText">
    <w:name w:val="footnote text"/>
    <w:aliases w:val="F1"/>
    <w:link w:val="FootnoteTextChar"/>
    <w:rsid w:val="002F46D3"/>
    <w:pPr>
      <w:tabs>
        <w:tab w:val="left" w:pos="120"/>
      </w:tabs>
      <w:spacing w:before="60"/>
    </w:pPr>
    <w:rPr>
      <w:rFonts w:eastAsia="Times New Roman" w:cstheme="minorHAnsi"/>
      <w:color w:val="000000" w:themeColor="text1"/>
      <w:sz w:val="18"/>
      <w:szCs w:val="18"/>
    </w:rPr>
  </w:style>
  <w:style w:type="character" w:customStyle="1" w:styleId="FootnoteTextChar">
    <w:name w:val="Footnote Text Char"/>
    <w:aliases w:val="F1 Char"/>
    <w:basedOn w:val="DefaultParagraphFont"/>
    <w:link w:val="FootnoteText"/>
    <w:rsid w:val="002F46D3"/>
    <w:rPr>
      <w:rFonts w:eastAsia="Times New Roman" w:cstheme="minorHAnsi"/>
      <w:color w:val="000000" w:themeColor="text1"/>
      <w:sz w:val="18"/>
      <w:szCs w:val="18"/>
    </w:rPr>
  </w:style>
  <w:style w:type="character" w:styleId="FootnoteReference">
    <w:name w:val="footnote reference"/>
    <w:basedOn w:val="DefaultParagraphFont"/>
    <w:uiPriority w:val="99"/>
    <w:semiHidden/>
    <w:unhideWhenUsed/>
    <w:rsid w:val="001F610A"/>
    <w:rPr>
      <w:vertAlign w:val="superscript"/>
    </w:rPr>
  </w:style>
  <w:style w:type="character" w:customStyle="1" w:styleId="UnresolvedMention1">
    <w:name w:val="Unresolved Mention1"/>
    <w:basedOn w:val="DefaultParagraphFont"/>
    <w:uiPriority w:val="99"/>
    <w:semiHidden/>
    <w:unhideWhenUsed/>
    <w:rsid w:val="001F610A"/>
    <w:rPr>
      <w:color w:val="605E5C"/>
      <w:shd w:val="clear" w:color="auto" w:fill="E1DFDD"/>
    </w:rPr>
  </w:style>
  <w:style w:type="character" w:styleId="FollowedHyperlink">
    <w:name w:val="FollowedHyperlink"/>
    <w:basedOn w:val="DefaultParagraphFont"/>
    <w:uiPriority w:val="99"/>
    <w:semiHidden/>
    <w:unhideWhenUsed/>
    <w:rsid w:val="00413A02"/>
    <w:rPr>
      <w:color w:val="954F72" w:themeColor="followedHyperlink"/>
      <w:u w:val="single"/>
    </w:rPr>
  </w:style>
  <w:style w:type="paragraph" w:styleId="Revision">
    <w:name w:val="Revision"/>
    <w:hidden/>
    <w:uiPriority w:val="99"/>
    <w:semiHidden/>
    <w:rsid w:val="000C7397"/>
    <w:rPr>
      <w:rFonts w:ascii="Myriad Pro" w:hAnsi="Myriad Pro" w:cs="Open Sans"/>
      <w:color w:val="000000" w:themeColor="text1"/>
      <w:sz w:val="20"/>
      <w:szCs w:val="20"/>
    </w:rPr>
  </w:style>
  <w:style w:type="character" w:customStyle="1" w:styleId="UnresolvedMention2">
    <w:name w:val="Unresolved Mention2"/>
    <w:basedOn w:val="DefaultParagraphFont"/>
    <w:uiPriority w:val="99"/>
    <w:semiHidden/>
    <w:unhideWhenUsed/>
    <w:rsid w:val="00C2339C"/>
    <w:rPr>
      <w:color w:val="605E5C"/>
      <w:shd w:val="clear" w:color="auto" w:fill="E1DFDD"/>
    </w:rPr>
  </w:style>
  <w:style w:type="character" w:customStyle="1" w:styleId="Heading4Char">
    <w:name w:val="Heading 4 Char"/>
    <w:aliases w:val="H4-Sec. Head Char"/>
    <w:basedOn w:val="DefaultParagraphFont"/>
    <w:link w:val="Heading4"/>
    <w:rsid w:val="001F610A"/>
    <w:rPr>
      <w:rFonts w:eastAsia="Times New Roman" w:cstheme="minorHAnsi"/>
      <w:color w:val="01579B"/>
      <w:sz w:val="30"/>
    </w:rPr>
  </w:style>
  <w:style w:type="character" w:customStyle="1" w:styleId="Heading5Char">
    <w:name w:val="Heading 5 Char"/>
    <w:aliases w:val="H5-Sec. Head Char"/>
    <w:basedOn w:val="DefaultParagraphFont"/>
    <w:link w:val="Heading5"/>
    <w:rsid w:val="001F610A"/>
    <w:rPr>
      <w:rFonts w:eastAsia="Times New Roman" w:cstheme="minorHAnsi"/>
      <w:iCs/>
      <w:color w:val="01579B"/>
    </w:rPr>
  </w:style>
  <w:style w:type="character" w:customStyle="1" w:styleId="Heading6Char">
    <w:name w:val="Heading 6 Char"/>
    <w:basedOn w:val="DefaultParagraphFont"/>
    <w:link w:val="Heading6"/>
    <w:rsid w:val="001F610A"/>
    <w:rPr>
      <w:rFonts w:eastAsia="Times New Roman" w:cstheme="minorHAnsi"/>
      <w:b/>
      <w:color w:val="01579B"/>
      <w:sz w:val="21"/>
      <w:szCs w:val="21"/>
    </w:rPr>
  </w:style>
  <w:style w:type="character" w:customStyle="1" w:styleId="Heading7Char">
    <w:name w:val="Heading 7 Char"/>
    <w:basedOn w:val="DefaultParagraphFont"/>
    <w:link w:val="Heading7"/>
    <w:rsid w:val="001F610A"/>
    <w:rPr>
      <w:rFonts w:ascii="Myriad Pro" w:hAnsi="Myriad Pro"/>
      <w:color w:val="262626" w:themeColor="text1" w:themeTint="D9"/>
      <w:sz w:val="20"/>
    </w:rPr>
  </w:style>
  <w:style w:type="paragraph" w:customStyle="1" w:styleId="TableDetail">
    <w:name w:val="Table Detail"/>
    <w:basedOn w:val="Normal"/>
    <w:qFormat/>
    <w:rsid w:val="001F610A"/>
    <w:pPr>
      <w:spacing w:after="0"/>
    </w:pPr>
  </w:style>
  <w:style w:type="paragraph" w:customStyle="1" w:styleId="N1-1stBullet">
    <w:name w:val="N1-1st Bullet"/>
    <w:basedOn w:val="ListBullet"/>
    <w:rsid w:val="001F610A"/>
  </w:style>
  <w:style w:type="paragraph" w:customStyle="1" w:styleId="N2-2ndBullet">
    <w:name w:val="N2-2nd Bullet"/>
    <w:basedOn w:val="ListBullet2"/>
    <w:next w:val="ListBullet2"/>
    <w:rsid w:val="001F610A"/>
    <w:pPr>
      <w:numPr>
        <w:numId w:val="34"/>
      </w:numPr>
      <w:ind w:left="864" w:hanging="432"/>
    </w:pPr>
  </w:style>
  <w:style w:type="paragraph" w:customStyle="1" w:styleId="N3-3rdBullet">
    <w:name w:val="N3-3rd Bullet"/>
    <w:basedOn w:val="ListBullet3"/>
    <w:next w:val="ListBullet3"/>
    <w:rsid w:val="001F610A"/>
  </w:style>
  <w:style w:type="paragraph" w:customStyle="1" w:styleId="N4-4thBullet">
    <w:name w:val="N4-4th Bullet"/>
    <w:basedOn w:val="Normal"/>
    <w:rsid w:val="001F610A"/>
    <w:pPr>
      <w:numPr>
        <w:numId w:val="35"/>
      </w:numPr>
      <w:spacing w:after="0" w:line="276" w:lineRule="auto"/>
      <w:ind w:left="1728" w:hanging="432"/>
    </w:pPr>
    <w:rPr>
      <w:rFonts w:asciiTheme="minorHAnsi" w:eastAsia="Calibri" w:hAnsiTheme="minorHAnsi" w:cstheme="minorHAnsi"/>
      <w:color w:val="000000" w:themeColor="text1"/>
      <w:sz w:val="21"/>
      <w:szCs w:val="22"/>
    </w:rPr>
  </w:style>
  <w:style w:type="paragraph" w:customStyle="1" w:styleId="StyleHeading1Before0pt">
    <w:name w:val="Style Heading 1 + Before:  0 pt"/>
    <w:basedOn w:val="Heading1"/>
    <w:rsid w:val="001F610A"/>
    <w:rPr>
      <w:rFonts w:ascii="Calibri" w:eastAsia="Times New Roman" w:hAnsi="Calibri" w:cs="Times New Roman"/>
      <w:szCs w:val="20"/>
    </w:rPr>
  </w:style>
  <w:style w:type="paragraph" w:customStyle="1" w:styleId="E1-Equation">
    <w:name w:val="E1-Equation"/>
    <w:basedOn w:val="Normal"/>
    <w:rsid w:val="001F610A"/>
    <w:pPr>
      <w:tabs>
        <w:tab w:val="center" w:pos="4680"/>
        <w:tab w:val="right" w:pos="9360"/>
      </w:tabs>
    </w:pPr>
  </w:style>
  <w:style w:type="paragraph" w:customStyle="1" w:styleId="E2-Equation">
    <w:name w:val="E2-Equation"/>
    <w:basedOn w:val="Normal"/>
    <w:rsid w:val="001F610A"/>
    <w:pPr>
      <w:tabs>
        <w:tab w:val="right" w:pos="1152"/>
        <w:tab w:val="center" w:pos="1440"/>
        <w:tab w:val="left" w:pos="1728"/>
      </w:tabs>
      <w:ind w:left="1728" w:hanging="1728"/>
    </w:pPr>
  </w:style>
  <w:style w:type="paragraph" w:customStyle="1" w:styleId="L1-FlLSp12">
    <w:name w:val="L1-FlL Sp&amp;1/2"/>
    <w:basedOn w:val="Normal"/>
    <w:rsid w:val="001F610A"/>
    <w:pPr>
      <w:tabs>
        <w:tab w:val="left" w:pos="1152"/>
      </w:tabs>
      <w:spacing w:line="360" w:lineRule="atLeast"/>
    </w:pPr>
  </w:style>
  <w:style w:type="paragraph" w:customStyle="1" w:styleId="N0-FlLftBullet">
    <w:name w:val="N0-Fl Lft Bullet"/>
    <w:basedOn w:val="Normal"/>
    <w:rsid w:val="0085398C"/>
    <w:pPr>
      <w:tabs>
        <w:tab w:val="left" w:pos="576"/>
      </w:tabs>
      <w:spacing w:line="280" w:lineRule="atLeast"/>
      <w:ind w:left="576" w:hanging="576"/>
    </w:pPr>
    <w:rPr>
      <w:rFonts w:asciiTheme="minorHAnsi" w:hAnsiTheme="minorHAnsi" w:cstheme="minorHAnsi"/>
      <w:color w:val="000000" w:themeColor="text1"/>
      <w:sz w:val="21"/>
      <w:szCs w:val="21"/>
    </w:rPr>
  </w:style>
  <w:style w:type="paragraph" w:customStyle="1" w:styleId="N5-5thBullet">
    <w:name w:val="N5-5th Bullet"/>
    <w:basedOn w:val="Normal"/>
    <w:rsid w:val="001F610A"/>
    <w:pPr>
      <w:tabs>
        <w:tab w:val="left" w:pos="3456"/>
      </w:tabs>
      <w:spacing w:after="240"/>
      <w:ind w:left="3456" w:hanging="576"/>
    </w:pPr>
  </w:style>
  <w:style w:type="paragraph" w:customStyle="1" w:styleId="SL-FlLftSgl">
    <w:name w:val="SL-Fl Lft Sgl"/>
    <w:basedOn w:val="Normal"/>
    <w:rsid w:val="001F610A"/>
    <w:pPr>
      <w:spacing w:line="280" w:lineRule="atLeast"/>
    </w:pPr>
    <w:rPr>
      <w:rFonts w:asciiTheme="minorHAnsi" w:eastAsia="Calibri" w:hAnsiTheme="minorHAnsi" w:cstheme="minorHAnsi"/>
      <w:color w:val="000000" w:themeColor="text1"/>
      <w:sz w:val="21"/>
      <w:szCs w:val="21"/>
      <w:lang w:val="fr-FR"/>
    </w:rPr>
  </w:style>
  <w:style w:type="paragraph" w:customStyle="1" w:styleId="T0-ChapPgHd">
    <w:name w:val="T0-Chap/Pg Hd"/>
    <w:basedOn w:val="Normal"/>
    <w:rsid w:val="001F610A"/>
    <w:pPr>
      <w:tabs>
        <w:tab w:val="left" w:pos="8640"/>
      </w:tabs>
    </w:pPr>
    <w:rPr>
      <w:rFonts w:ascii="Franklin Gothic Medium" w:hAnsi="Franklin Gothic Medium"/>
      <w:u w:val="words"/>
    </w:rPr>
  </w:style>
  <w:style w:type="paragraph" w:styleId="TOC1">
    <w:name w:val="toc 1"/>
    <w:basedOn w:val="Normal"/>
    <w:semiHidden/>
    <w:rsid w:val="001F610A"/>
    <w:pPr>
      <w:tabs>
        <w:tab w:val="left" w:pos="1440"/>
        <w:tab w:val="right" w:leader="dot" w:pos="8208"/>
        <w:tab w:val="left" w:pos="8640"/>
      </w:tabs>
      <w:ind w:left="1440" w:right="1800" w:hanging="1152"/>
    </w:pPr>
  </w:style>
  <w:style w:type="paragraph" w:styleId="TOC2">
    <w:name w:val="toc 2"/>
    <w:basedOn w:val="Normal"/>
    <w:semiHidden/>
    <w:rsid w:val="001F610A"/>
    <w:pPr>
      <w:tabs>
        <w:tab w:val="left" w:pos="2160"/>
        <w:tab w:val="right" w:leader="dot" w:pos="8208"/>
        <w:tab w:val="left" w:pos="8640"/>
      </w:tabs>
      <w:ind w:left="2160" w:right="1800" w:hanging="720"/>
    </w:pPr>
    <w:rPr>
      <w:szCs w:val="22"/>
    </w:rPr>
  </w:style>
  <w:style w:type="paragraph" w:styleId="TOC3">
    <w:name w:val="toc 3"/>
    <w:basedOn w:val="Normal"/>
    <w:semiHidden/>
    <w:rsid w:val="001F610A"/>
    <w:pPr>
      <w:tabs>
        <w:tab w:val="left" w:pos="3024"/>
        <w:tab w:val="right" w:leader="dot" w:pos="8208"/>
        <w:tab w:val="left" w:pos="8640"/>
      </w:tabs>
      <w:ind w:left="3024" w:right="1800" w:hanging="864"/>
    </w:pPr>
  </w:style>
  <w:style w:type="paragraph" w:styleId="TOC4">
    <w:name w:val="toc 4"/>
    <w:basedOn w:val="Normal"/>
    <w:semiHidden/>
    <w:rsid w:val="001F610A"/>
    <w:pPr>
      <w:tabs>
        <w:tab w:val="left" w:pos="3888"/>
        <w:tab w:val="right" w:leader="dot" w:pos="8208"/>
        <w:tab w:val="left" w:pos="8640"/>
      </w:tabs>
      <w:ind w:left="3888" w:right="1800" w:hanging="864"/>
    </w:pPr>
  </w:style>
  <w:style w:type="paragraph" w:styleId="TOC5">
    <w:name w:val="toc 5"/>
    <w:basedOn w:val="Normal"/>
    <w:semiHidden/>
    <w:rsid w:val="001F610A"/>
    <w:pPr>
      <w:tabs>
        <w:tab w:val="left" w:pos="1440"/>
        <w:tab w:val="right" w:leader="dot" w:pos="8208"/>
        <w:tab w:val="left" w:pos="8640"/>
      </w:tabs>
      <w:ind w:left="1440" w:right="1800" w:hanging="1152"/>
    </w:pPr>
  </w:style>
  <w:style w:type="paragraph" w:customStyle="1" w:styleId="TT-TableTitle">
    <w:name w:val="TT-Table Title"/>
    <w:rsid w:val="001F610A"/>
    <w:pPr>
      <w:keepNext/>
      <w:tabs>
        <w:tab w:val="left" w:pos="1440"/>
      </w:tabs>
      <w:spacing w:before="120" w:after="120" w:line="240" w:lineRule="atLeast"/>
      <w:ind w:left="1152" w:hanging="1152"/>
    </w:pPr>
    <w:rPr>
      <w:rFonts w:eastAsia="Times New Roman" w:cstheme="minorHAnsi"/>
      <w:color w:val="000000"/>
      <w:sz w:val="21"/>
      <w:szCs w:val="20"/>
    </w:rPr>
  </w:style>
  <w:style w:type="paragraph" w:customStyle="1" w:styleId="CT-ContractInformation">
    <w:name w:val="CT-Contract Information"/>
    <w:basedOn w:val="Normal"/>
    <w:rsid w:val="001F610A"/>
    <w:pPr>
      <w:tabs>
        <w:tab w:val="left" w:pos="2232"/>
      </w:tabs>
      <w:spacing w:line="240" w:lineRule="exact"/>
    </w:pPr>
    <w:rPr>
      <w:vanish/>
    </w:rPr>
  </w:style>
  <w:style w:type="paragraph" w:customStyle="1" w:styleId="RL-FlLftSgl">
    <w:name w:val="RL-Fl Lft Sgl"/>
    <w:basedOn w:val="SL-FlLftSgl"/>
    <w:rsid w:val="001F610A"/>
    <w:pPr>
      <w:spacing w:after="0"/>
    </w:pPr>
  </w:style>
  <w:style w:type="paragraph" w:customStyle="1" w:styleId="SU-FlLftUndln">
    <w:name w:val="SU-Fl Lft Undln"/>
    <w:basedOn w:val="Normal"/>
    <w:rsid w:val="001F610A"/>
    <w:pPr>
      <w:keepNext/>
      <w:spacing w:line="240" w:lineRule="exact"/>
    </w:pPr>
    <w:rPr>
      <w:u w:val="single"/>
    </w:rPr>
  </w:style>
  <w:style w:type="paragraph" w:customStyle="1" w:styleId="Header-1">
    <w:name w:val="Header-1"/>
    <w:rsid w:val="001F610A"/>
    <w:pPr>
      <w:keepNext/>
      <w:framePr w:hSpace="187" w:wrap="around" w:vAnchor="text" w:hAnchor="text" w:y="1"/>
      <w:spacing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qFormat/>
    <w:rsid w:val="001F610A"/>
    <w:pPr>
      <w:spacing w:before="90" w:after="90"/>
      <w:jc w:val="right"/>
    </w:pPr>
    <w:rPr>
      <w:rFonts w:eastAsiaTheme="minorEastAsia" w:cstheme="minorHAnsi"/>
      <w:color w:val="000000" w:themeColor="text1"/>
      <w:sz w:val="20"/>
      <w:szCs w:val="20"/>
    </w:rPr>
  </w:style>
  <w:style w:type="table" w:customStyle="1" w:styleId="TableWestatStandardFormat">
    <w:name w:val="Table Westat Standard Format"/>
    <w:basedOn w:val="TableNormal"/>
    <w:rsid w:val="001F610A"/>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1F610A"/>
    <w:pPr>
      <w:pBdr>
        <w:bottom w:val="single" w:sz="24" w:space="1" w:color="AFBED7"/>
      </w:pBdr>
      <w:spacing w:after="720"/>
      <w:ind w:left="6869"/>
    </w:pPr>
    <w:rPr>
      <w:sz w:val="32"/>
    </w:rPr>
  </w:style>
  <w:style w:type="paragraph" w:customStyle="1" w:styleId="TF-TblFN">
    <w:name w:val="TF-Tbl FN"/>
    <w:basedOn w:val="FootnoteText"/>
    <w:rsid w:val="001F610A"/>
    <w:pPr>
      <w:spacing w:before="0"/>
    </w:pPr>
    <w:rPr>
      <w:color w:val="000000"/>
      <w:sz w:val="21"/>
      <w:szCs w:val="21"/>
    </w:rPr>
  </w:style>
  <w:style w:type="paragraph" w:customStyle="1" w:styleId="TH2-TableHeading">
    <w:name w:val="TH2-Table Heading"/>
    <w:basedOn w:val="Normal"/>
    <w:rsid w:val="001F610A"/>
    <w:pPr>
      <w:keepNext/>
      <w:keepLines/>
      <w:spacing w:after="0" w:line="240" w:lineRule="atLeast"/>
      <w:jc w:val="right"/>
      <w:outlineLvl w:val="3"/>
    </w:pPr>
    <w:rPr>
      <w:rFonts w:asciiTheme="minorHAnsi" w:eastAsiaTheme="minorEastAsia" w:hAnsiTheme="minorHAnsi" w:cstheme="minorHAnsi"/>
      <w:b/>
      <w:bCs/>
      <w:iCs/>
      <w:color w:val="FFFFFF"/>
      <w:sz w:val="21"/>
      <w:szCs w:val="21"/>
    </w:rPr>
  </w:style>
  <w:style w:type="paragraph" w:styleId="TOC6">
    <w:name w:val="toc 6"/>
    <w:semiHidden/>
    <w:rsid w:val="001F610A"/>
    <w:pPr>
      <w:tabs>
        <w:tab w:val="right" w:leader="dot" w:pos="8208"/>
        <w:tab w:val="left" w:pos="8640"/>
      </w:tabs>
      <w:ind w:left="288"/>
    </w:pPr>
    <w:rPr>
      <w:rFonts w:ascii="Garamond" w:eastAsia="Times New Roman" w:hAnsi="Garamond" w:cs="Times New Roman"/>
      <w:szCs w:val="22"/>
    </w:rPr>
  </w:style>
  <w:style w:type="paragraph" w:styleId="TOC7">
    <w:name w:val="toc 7"/>
    <w:semiHidden/>
    <w:rsid w:val="001F610A"/>
    <w:pPr>
      <w:tabs>
        <w:tab w:val="right" w:leader="dot" w:pos="8208"/>
        <w:tab w:val="left" w:pos="8640"/>
      </w:tabs>
      <w:ind w:left="1440"/>
    </w:pPr>
    <w:rPr>
      <w:rFonts w:ascii="Garamond" w:eastAsia="Times New Roman" w:hAnsi="Garamond" w:cs="Times New Roman"/>
      <w:szCs w:val="22"/>
    </w:rPr>
  </w:style>
  <w:style w:type="paragraph" w:styleId="TOC8">
    <w:name w:val="toc 8"/>
    <w:semiHidden/>
    <w:rsid w:val="001F610A"/>
    <w:pPr>
      <w:tabs>
        <w:tab w:val="right" w:leader="dot" w:pos="8208"/>
        <w:tab w:val="left" w:pos="8640"/>
      </w:tabs>
      <w:ind w:left="2160"/>
    </w:pPr>
    <w:rPr>
      <w:rFonts w:ascii="Garamond" w:eastAsia="Times New Roman" w:hAnsi="Garamond" w:cs="Times New Roman"/>
      <w:szCs w:val="22"/>
    </w:rPr>
  </w:style>
  <w:style w:type="paragraph" w:styleId="TOC9">
    <w:name w:val="toc 9"/>
    <w:semiHidden/>
    <w:rsid w:val="001F610A"/>
    <w:pPr>
      <w:tabs>
        <w:tab w:val="right" w:leader="dot" w:pos="8208"/>
        <w:tab w:val="left" w:pos="8640"/>
      </w:tabs>
      <w:ind w:left="3024"/>
    </w:pPr>
    <w:rPr>
      <w:rFonts w:ascii="Garamond" w:eastAsia="Times New Roman" w:hAnsi="Garamond" w:cs="Times New Roman"/>
      <w:szCs w:val="22"/>
    </w:rPr>
  </w:style>
  <w:style w:type="paragraph" w:customStyle="1" w:styleId="TX-TableText">
    <w:name w:val="TX-Table Text"/>
    <w:basedOn w:val="Normal"/>
    <w:rsid w:val="001F610A"/>
    <w:pPr>
      <w:spacing w:before="90" w:after="90" w:line="280" w:lineRule="atLeast"/>
    </w:pPr>
    <w:rPr>
      <w:rFonts w:ascii="Calibri" w:hAnsi="Calibri" w:cstheme="minorHAnsi"/>
      <w:color w:val="000000" w:themeColor="text1"/>
      <w:sz w:val="21"/>
      <w:szCs w:val="21"/>
    </w:rPr>
  </w:style>
  <w:style w:type="paragraph" w:customStyle="1" w:styleId="IntroText">
    <w:name w:val="Intro (Text)"/>
    <w:basedOn w:val="Normal"/>
    <w:uiPriority w:val="99"/>
    <w:rsid w:val="001F610A"/>
    <w:pPr>
      <w:suppressAutoHyphens/>
      <w:autoSpaceDE w:val="0"/>
      <w:autoSpaceDN w:val="0"/>
      <w:adjustRightInd w:val="0"/>
      <w:spacing w:line="400" w:lineRule="atLeast"/>
      <w:textAlignment w:val="center"/>
    </w:pPr>
    <w:rPr>
      <w:rFonts w:asciiTheme="minorHAnsi" w:hAnsiTheme="minorHAnsi" w:cstheme="minorHAnsi"/>
      <w:color w:val="26847A"/>
      <w:sz w:val="28"/>
      <w:szCs w:val="28"/>
    </w:rPr>
  </w:style>
  <w:style w:type="paragraph" w:styleId="ListNumber">
    <w:name w:val="List Number"/>
    <w:aliases w:val="L3-List Number"/>
    <w:basedOn w:val="Normal"/>
    <w:uiPriority w:val="99"/>
    <w:unhideWhenUsed/>
    <w:rsid w:val="001F610A"/>
    <w:pPr>
      <w:numPr>
        <w:ilvl w:val="2"/>
        <w:numId w:val="37"/>
      </w:numPr>
      <w:spacing w:after="120" w:line="240" w:lineRule="atLeast"/>
      <w:ind w:left="1296" w:hanging="432"/>
    </w:pPr>
    <w:rPr>
      <w:rFonts w:asciiTheme="minorHAnsi" w:eastAsia="Calibri" w:hAnsiTheme="minorHAnsi" w:cstheme="minorHAnsi"/>
      <w:color w:val="000000" w:themeColor="text1"/>
      <w:sz w:val="21"/>
      <w:szCs w:val="21"/>
    </w:rPr>
  </w:style>
  <w:style w:type="paragraph" w:styleId="ListNumber2">
    <w:name w:val="List Number 2"/>
    <w:aliases w:val="L4-List Number 2"/>
    <w:basedOn w:val="Normal"/>
    <w:uiPriority w:val="99"/>
    <w:unhideWhenUsed/>
    <w:rsid w:val="001F610A"/>
    <w:pPr>
      <w:numPr>
        <w:ilvl w:val="3"/>
        <w:numId w:val="37"/>
      </w:numPr>
      <w:spacing w:after="120" w:line="240" w:lineRule="atLeast"/>
      <w:ind w:left="1728" w:hanging="432"/>
    </w:pPr>
    <w:rPr>
      <w:rFonts w:asciiTheme="minorHAnsi" w:eastAsia="Calibri" w:hAnsiTheme="minorHAnsi" w:cstheme="minorHAnsi"/>
      <w:color w:val="000000" w:themeColor="text1"/>
      <w:sz w:val="21"/>
      <w:szCs w:val="21"/>
    </w:rPr>
  </w:style>
  <w:style w:type="paragraph" w:customStyle="1" w:styleId="NL-1stNumberedBullet">
    <w:name w:val="NL-1st Numbered Bullet"/>
    <w:qFormat/>
    <w:rsid w:val="001F610A"/>
    <w:pPr>
      <w:numPr>
        <w:numId w:val="36"/>
      </w:numPr>
      <w:spacing w:line="276" w:lineRule="auto"/>
    </w:pPr>
    <w:rPr>
      <w:rFonts w:eastAsia="Calibri" w:cstheme="minorHAnsi"/>
      <w:color w:val="000000" w:themeColor="text1"/>
      <w:sz w:val="21"/>
      <w:szCs w:val="21"/>
    </w:rPr>
  </w:style>
  <w:style w:type="paragraph" w:customStyle="1" w:styleId="FT-FigureTItle">
    <w:name w:val="FT-Figure TItle"/>
    <w:basedOn w:val="TT-TableTitle"/>
    <w:rsid w:val="001F610A"/>
  </w:style>
  <w:style w:type="paragraph" w:customStyle="1" w:styleId="TB2-TableBullet2">
    <w:name w:val="TB2-Table Bullet 2"/>
    <w:basedOn w:val="TB-TableBullet"/>
    <w:qFormat/>
    <w:rsid w:val="001F610A"/>
    <w:pPr>
      <w:numPr>
        <w:numId w:val="38"/>
      </w:numPr>
    </w:pPr>
    <w:rPr>
      <w:rFonts w:ascii="Franklin Gothic Medium" w:eastAsia="Times New Roman" w:hAnsi="Franklin Gothic Medium" w:cs="Times New Roman"/>
    </w:rPr>
  </w:style>
  <w:style w:type="paragraph" w:customStyle="1" w:styleId="TH-TableHeading">
    <w:name w:val="TH-Table Heading"/>
    <w:rsid w:val="001F610A"/>
    <w:pPr>
      <w:jc w:val="center"/>
    </w:pPr>
    <w:rPr>
      <w:rFonts w:ascii="Calibri" w:eastAsiaTheme="minorEastAsia" w:hAnsi="Calibri" w:cstheme="minorHAnsi"/>
      <w:b/>
      <w:bCs/>
      <w:iCs/>
      <w:color w:val="FFFFFF"/>
    </w:rPr>
  </w:style>
  <w:style w:type="table" w:customStyle="1" w:styleId="TableGrid1">
    <w:name w:val="Table Grid1"/>
    <w:basedOn w:val="TableNormal"/>
    <w:next w:val="TableGrid"/>
    <w:uiPriority w:val="59"/>
    <w:rsid w:val="001F610A"/>
    <w:rPr>
      <w:rFonts w:eastAsiaTheme="minorEastAsia"/>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1Horz">
      <w:rPr>
        <w:rFonts w:asciiTheme="minorHAnsi" w:hAnsiTheme="minorHAnsi"/>
        <w:sz w:val="20"/>
      </w:rPr>
    </w:tblStylePr>
  </w:style>
  <w:style w:type="paragraph" w:customStyle="1" w:styleId="ShadedCalloutBox">
    <w:name w:val="Shaded Callout Box"/>
    <w:basedOn w:val="SL-FlLftSgl"/>
    <w:qFormat/>
    <w:rsid w:val="001F610A"/>
    <w:pPr>
      <w:framePr w:w="9382" w:wrap="notBeside" w:vAnchor="text" w:hAnchor="text" w:y="-3"/>
      <w:shd w:val="clear" w:color="auto" w:fill="EBF1FA"/>
    </w:pPr>
  </w:style>
  <w:style w:type="table" w:customStyle="1" w:styleId="TableGrid2">
    <w:name w:val="Table Grid2"/>
    <w:basedOn w:val="TableNormal"/>
    <w:next w:val="TableGrid"/>
    <w:uiPriority w:val="59"/>
    <w:rsid w:val="001F610A"/>
    <w:rPr>
      <w:rFonts w:eastAsiaTheme="minorEastAsia"/>
      <w:sz w:val="20"/>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lloutBox">
    <w:name w:val="Callout Box"/>
    <w:basedOn w:val="SL-FlLftSgl"/>
    <w:qFormat/>
    <w:rsid w:val="001F610A"/>
    <w:rPr>
      <w:lang w:eastAsia="ko-KR"/>
    </w:rPr>
  </w:style>
  <w:style w:type="table" w:customStyle="1" w:styleId="Callout">
    <w:name w:val="Callout"/>
    <w:basedOn w:val="TableNormal"/>
    <w:uiPriority w:val="99"/>
    <w:rsid w:val="001F610A"/>
    <w:pPr>
      <w:spacing w:line="280" w:lineRule="atLeast"/>
    </w:pPr>
    <w:rPr>
      <w:rFonts w:ascii="Calibri" w:eastAsia="Times New Roman" w:hAnsi="Calibri" w:cs="Times New Roman"/>
      <w:sz w:val="21"/>
      <w:szCs w:val="20"/>
    </w:rPr>
    <w:tblPr>
      <w:tblCellMar>
        <w:top w:w="144" w:type="dxa"/>
        <w:left w:w="144" w:type="dxa"/>
        <w:bottom w:w="144" w:type="dxa"/>
        <w:right w:w="144" w:type="dxa"/>
      </w:tblCellMar>
    </w:tblPr>
    <w:tcPr>
      <w:shd w:val="clear" w:color="auto" w:fill="EBF1FA"/>
    </w:tcPr>
  </w:style>
  <w:style w:type="table" w:customStyle="1" w:styleId="IDCNonDataTable">
    <w:name w:val="IDC Non Data Table"/>
    <w:basedOn w:val="TableNormal"/>
    <w:uiPriority w:val="99"/>
    <w:rsid w:val="001F610A"/>
    <w:rPr>
      <w:rFonts w:ascii="Calibri" w:eastAsia="Times New Roman" w:hAnsi="Calibri" w:cs="Times New Roman"/>
      <w:color w:val="FFFFFF" w:themeColor="background1"/>
      <w:sz w:val="20"/>
      <w:szCs w:val="20"/>
    </w:rPr>
    <w:tblPr>
      <w:tblStyleRowBandSize w:val="1"/>
    </w:tblPr>
    <w:tblStylePr w:type="firstRow">
      <w:rPr>
        <w:rFonts w:ascii="Calibri" w:hAnsi="Calibri"/>
        <w:color w:val="FFFFFF" w:themeColor="background1"/>
        <w:sz w:val="24"/>
      </w:rPr>
      <w:tblPr/>
      <w:tcPr>
        <w:tcBorders>
          <w:top w:val="nil"/>
          <w:left w:val="nil"/>
          <w:bottom w:val="nil"/>
          <w:right w:val="nil"/>
          <w:insideH w:val="nil"/>
          <w:insideV w:val="nil"/>
          <w:tl2br w:val="nil"/>
          <w:tr2bl w:val="nil"/>
        </w:tcBorders>
        <w:shd w:val="clear" w:color="auto" w:fill="01579B"/>
      </w:tcPr>
    </w:tblStylePr>
    <w:tblStylePr w:type="band1Horz">
      <w:pPr>
        <w:wordWrap/>
        <w:spacing w:beforeLines="0" w:before="90" w:beforeAutospacing="0" w:afterLines="0" w:after="90" w:afterAutospacing="0" w:line="280" w:lineRule="atLeast"/>
        <w:contextualSpacing w:val="0"/>
      </w:pPr>
      <w:rPr>
        <w:rFonts w:ascii="Calibri" w:hAnsi="Calibri"/>
        <w:sz w:val="20"/>
      </w:rPr>
      <w:tblPr/>
      <w:tcPr>
        <w:shd w:val="clear" w:color="auto" w:fill="EBF1FA"/>
      </w:tcPr>
    </w:tblStylePr>
    <w:tblStylePr w:type="band2Horz">
      <w:pPr>
        <w:wordWrap/>
        <w:spacing w:beforeLines="0" w:before="90" w:beforeAutospacing="0" w:afterLines="0" w:after="90" w:afterAutospacing="0" w:line="280" w:lineRule="atLeast"/>
        <w:contextualSpacing w:val="0"/>
      </w:pPr>
      <w:rPr>
        <w:rFonts w:asciiTheme="minorHAnsi" w:hAnsiTheme="minorHAnsi"/>
        <w:sz w:val="20"/>
      </w:rPr>
      <w:tblPr/>
      <w:tcPr>
        <w:shd w:val="clear" w:color="auto" w:fill="FFFFFF" w:themeFill="background1"/>
      </w:tcPr>
    </w:tblStylePr>
  </w:style>
  <w:style w:type="table" w:customStyle="1" w:styleId="IDEADataTable">
    <w:name w:val="IDEA Data Table"/>
    <w:basedOn w:val="TableNormal"/>
    <w:uiPriority w:val="99"/>
    <w:rsid w:val="001F610A"/>
    <w:rPr>
      <w:rFonts w:ascii="Times New Roman" w:eastAsia="Times New Roman" w:hAnsi="Times New Roman" w:cs="Times New Roman"/>
      <w:sz w:val="20"/>
      <w:szCs w:val="20"/>
    </w:rPr>
    <w:tblPr>
      <w:tblStyleRowBandSize w:val="1"/>
    </w:tblPr>
    <w:tblStylePr w:type="firstRow">
      <w:rPr>
        <w:rFonts w:ascii="Calibri" w:hAnsi="Calibri"/>
        <w:color w:val="FFFFFF"/>
        <w:sz w:val="21"/>
      </w:rPr>
      <w:tblPr/>
      <w:tcPr>
        <w:tcBorders>
          <w:top w:val="nil"/>
          <w:left w:val="nil"/>
          <w:bottom w:val="nil"/>
          <w:right w:val="nil"/>
          <w:insideH w:val="nil"/>
          <w:insideV w:val="nil"/>
          <w:tl2br w:val="nil"/>
          <w:tr2bl w:val="nil"/>
        </w:tcBorders>
        <w:shd w:val="clear" w:color="auto" w:fill="01579B"/>
      </w:tcPr>
    </w:tblStylePr>
    <w:tblStylePr w:type="band1Horz">
      <w:rPr>
        <w:rFonts w:asciiTheme="minorHAnsi" w:hAnsiTheme="minorHAnsi"/>
        <w:sz w:val="20"/>
      </w:rPr>
      <w:tblPr/>
      <w:tcPr>
        <w:shd w:val="clear" w:color="auto" w:fill="EBF1FA"/>
      </w:tcPr>
    </w:tblStylePr>
    <w:tblStylePr w:type="band2Horz">
      <w:rPr>
        <w:rFonts w:asciiTheme="minorHAnsi" w:hAnsiTheme="minorHAnsi"/>
        <w:sz w:val="20"/>
      </w:rPr>
    </w:tblStylePr>
  </w:style>
  <w:style w:type="paragraph" w:styleId="List4">
    <w:name w:val="List 4"/>
    <w:basedOn w:val="ListBullet4"/>
    <w:uiPriority w:val="99"/>
    <w:unhideWhenUsed/>
    <w:rsid w:val="001F610A"/>
    <w:pPr>
      <w:ind w:hanging="435"/>
    </w:pPr>
  </w:style>
  <w:style w:type="paragraph" w:styleId="List3">
    <w:name w:val="List 3"/>
    <w:basedOn w:val="N3-3rdBullet"/>
    <w:uiPriority w:val="99"/>
    <w:unhideWhenUsed/>
    <w:rsid w:val="001F610A"/>
  </w:style>
  <w:style w:type="paragraph" w:styleId="List2">
    <w:name w:val="List 2"/>
    <w:basedOn w:val="N2-2ndBullet"/>
    <w:uiPriority w:val="99"/>
    <w:unhideWhenUsed/>
    <w:rsid w:val="001F610A"/>
  </w:style>
  <w:style w:type="paragraph" w:styleId="List">
    <w:name w:val="List"/>
    <w:basedOn w:val="N1-1stBullet"/>
    <w:uiPriority w:val="99"/>
    <w:unhideWhenUsed/>
    <w:rsid w:val="001F610A"/>
  </w:style>
  <w:style w:type="paragraph" w:styleId="ListBullet4">
    <w:name w:val="List Bullet 4"/>
    <w:basedOn w:val="ListBullet3"/>
    <w:uiPriority w:val="99"/>
    <w:unhideWhenUsed/>
    <w:rsid w:val="001F610A"/>
    <w:pPr>
      <w:numPr>
        <w:ilvl w:val="3"/>
      </w:numPr>
    </w:pPr>
  </w:style>
  <w:style w:type="paragraph" w:styleId="ListBullet3">
    <w:name w:val="List Bullet 3"/>
    <w:basedOn w:val="Normal"/>
    <w:uiPriority w:val="99"/>
    <w:unhideWhenUsed/>
    <w:rsid w:val="001F610A"/>
    <w:pPr>
      <w:numPr>
        <w:ilvl w:val="2"/>
        <w:numId w:val="33"/>
      </w:numPr>
      <w:spacing w:after="0" w:line="276" w:lineRule="auto"/>
    </w:pPr>
    <w:rPr>
      <w:rFonts w:asciiTheme="minorHAnsi" w:eastAsia="Calibri" w:hAnsiTheme="minorHAnsi" w:cstheme="minorHAnsi"/>
      <w:color w:val="000000" w:themeColor="text1"/>
      <w:sz w:val="21"/>
      <w:szCs w:val="22"/>
    </w:rPr>
  </w:style>
  <w:style w:type="paragraph" w:customStyle="1" w:styleId="NA-2ndBullet">
    <w:name w:val="NA-2nd Bullet"/>
    <w:basedOn w:val="NL-1stNumberedBullet"/>
    <w:qFormat/>
    <w:rsid w:val="001F610A"/>
    <w:pPr>
      <w:numPr>
        <w:ilvl w:val="1"/>
      </w:numPr>
    </w:pPr>
  </w:style>
  <w:style w:type="paragraph" w:customStyle="1" w:styleId="NB-3rdBullet">
    <w:name w:val="NB-3rd Bullet"/>
    <w:basedOn w:val="NA-2ndBullet"/>
    <w:qFormat/>
    <w:rsid w:val="001F610A"/>
    <w:pPr>
      <w:numPr>
        <w:ilvl w:val="2"/>
      </w:numPr>
    </w:pPr>
  </w:style>
  <w:style w:type="paragraph" w:customStyle="1" w:styleId="NC-4thBullet">
    <w:name w:val="NC-4th Bullet"/>
    <w:qFormat/>
    <w:rsid w:val="001F610A"/>
    <w:pPr>
      <w:numPr>
        <w:ilvl w:val="3"/>
        <w:numId w:val="36"/>
      </w:numPr>
      <w:spacing w:line="276" w:lineRule="auto"/>
    </w:pPr>
    <w:rPr>
      <w:rFonts w:eastAsia="Calibri" w:cstheme="minorHAnsi"/>
      <w:color w:val="000000" w:themeColor="text1"/>
      <w:sz w:val="21"/>
      <w:szCs w:val="22"/>
    </w:rPr>
  </w:style>
  <w:style w:type="character" w:customStyle="1" w:styleId="UnresolvedMention3">
    <w:name w:val="Unresolved Mention3"/>
    <w:basedOn w:val="DefaultParagraphFont"/>
    <w:uiPriority w:val="99"/>
    <w:semiHidden/>
    <w:unhideWhenUsed/>
    <w:rsid w:val="00FB54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873916">
      <w:bodyDiv w:val="1"/>
      <w:marLeft w:val="0"/>
      <w:marRight w:val="0"/>
      <w:marTop w:val="0"/>
      <w:marBottom w:val="0"/>
      <w:divBdr>
        <w:top w:val="none" w:sz="0" w:space="0" w:color="auto"/>
        <w:left w:val="none" w:sz="0" w:space="0" w:color="auto"/>
        <w:bottom w:val="none" w:sz="0" w:space="0" w:color="auto"/>
        <w:right w:val="none" w:sz="0" w:space="0" w:color="auto"/>
      </w:divBdr>
      <w:divsChild>
        <w:div w:id="944654844">
          <w:marLeft w:val="600"/>
          <w:marRight w:val="0"/>
          <w:marTop w:val="0"/>
          <w:marBottom w:val="0"/>
          <w:divBdr>
            <w:top w:val="none" w:sz="0" w:space="0" w:color="auto"/>
            <w:left w:val="none" w:sz="0" w:space="0" w:color="auto"/>
            <w:bottom w:val="none" w:sz="0" w:space="0" w:color="auto"/>
            <w:right w:val="none" w:sz="0" w:space="0" w:color="auto"/>
          </w:divBdr>
        </w:div>
        <w:div w:id="1629777551">
          <w:marLeft w:val="600"/>
          <w:marRight w:val="0"/>
          <w:marTop w:val="0"/>
          <w:marBottom w:val="0"/>
          <w:divBdr>
            <w:top w:val="none" w:sz="0" w:space="0" w:color="auto"/>
            <w:left w:val="none" w:sz="0" w:space="0" w:color="auto"/>
            <w:bottom w:val="none" w:sz="0" w:space="0" w:color="auto"/>
            <w:right w:val="none" w:sz="0" w:space="0" w:color="auto"/>
          </w:divBdr>
        </w:div>
      </w:divsChild>
    </w:div>
    <w:div w:id="222720425">
      <w:bodyDiv w:val="1"/>
      <w:marLeft w:val="0"/>
      <w:marRight w:val="0"/>
      <w:marTop w:val="0"/>
      <w:marBottom w:val="0"/>
      <w:divBdr>
        <w:top w:val="none" w:sz="0" w:space="0" w:color="auto"/>
        <w:left w:val="none" w:sz="0" w:space="0" w:color="auto"/>
        <w:bottom w:val="none" w:sz="0" w:space="0" w:color="auto"/>
        <w:right w:val="none" w:sz="0" w:space="0" w:color="auto"/>
      </w:divBdr>
    </w:div>
    <w:div w:id="233056262">
      <w:bodyDiv w:val="1"/>
      <w:marLeft w:val="0"/>
      <w:marRight w:val="0"/>
      <w:marTop w:val="0"/>
      <w:marBottom w:val="0"/>
      <w:divBdr>
        <w:top w:val="none" w:sz="0" w:space="0" w:color="auto"/>
        <w:left w:val="none" w:sz="0" w:space="0" w:color="auto"/>
        <w:bottom w:val="none" w:sz="0" w:space="0" w:color="auto"/>
        <w:right w:val="none" w:sz="0" w:space="0" w:color="auto"/>
      </w:divBdr>
    </w:div>
    <w:div w:id="1219707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2.xml"/><Relationship Id="rId26" Type="http://schemas.openxmlformats.org/officeDocument/2006/relationships/chart" Target="charts/chart1.xml"/><Relationship Id="rId39" Type="http://schemas.openxmlformats.org/officeDocument/2006/relationships/theme" Target="theme/theme1.xml"/><Relationship Id="rId21" Type="http://schemas.openxmlformats.org/officeDocument/2006/relationships/footer" Target="footer5.xml"/><Relationship Id="rId34" Type="http://schemas.openxmlformats.org/officeDocument/2006/relationships/hyperlink" Target="https://sites.ed.gov/idea/regs/b/f/300.600/a/2"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ideadata.org/" TargetMode="External"/><Relationship Id="rId25" Type="http://schemas.openxmlformats.org/officeDocument/2006/relationships/hyperlink" Target="https://sites.ed.gov/idea/files/08-0101_Monitoring_FINAL_June_2009.pdf" TargetMode="External"/><Relationship Id="rId33" Type="http://schemas.openxmlformats.org/officeDocument/2006/relationships/hyperlink" Target="https://sites.ed.gov/idea/regs/b/f/300.600"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ideadata.org/" TargetMode="External"/><Relationship Id="rId20" Type="http://schemas.openxmlformats.org/officeDocument/2006/relationships/footer" Target="footer4.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4.png"/><Relationship Id="rId32" Type="http://schemas.openxmlformats.org/officeDocument/2006/relationships/hyperlink" Target="https://sites.ed.gov/idea/files/1820-0624_FFY20Part_B_SPPAPR_Measurement_TableFINAL.pdf" TargetMode="External"/><Relationship Id="rId37" Type="http://schemas.openxmlformats.org/officeDocument/2006/relationships/hyperlink" Target="https://sites.ed.gov/idea/files/08-0101_Monitoring_FINAL_June_2009.pdf" TargetMode="External"/><Relationship Id="rId5" Type="http://schemas.openxmlformats.org/officeDocument/2006/relationships/numbering" Target="numbering.xml"/><Relationship Id="rId15" Type="http://schemas.openxmlformats.org/officeDocument/2006/relationships/image" Target="media/image1.jpeg"/><Relationship Id="rId23" Type="http://schemas.openxmlformats.org/officeDocument/2006/relationships/footer" Target="footer6.xml"/><Relationship Id="rId28" Type="http://schemas.openxmlformats.org/officeDocument/2006/relationships/chart" Target="charts/chart3.xml"/><Relationship Id="rId36" Type="http://schemas.openxmlformats.org/officeDocument/2006/relationships/hyperlink" Target="https://sites.ed.gov/idea/regs/b/f/300.603/b/1" TargetMode="Externa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eader" Target="header4.xml"/><Relationship Id="rId27" Type="http://schemas.openxmlformats.org/officeDocument/2006/relationships/chart" Target="charts/chart2.xml"/><Relationship Id="rId30" Type="http://schemas.openxmlformats.org/officeDocument/2006/relationships/header" Target="header5.xml"/><Relationship Id="rId35" Type="http://schemas.openxmlformats.org/officeDocument/2006/relationships/hyperlink" Target="https://sites.ed.gov/idea/regs/b/f/300.600/b/2"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hyperlink" Target="file:///C:\Users\savoy_d\AppData\Local\Microsoft\Windows\INetCache\Content.Outlook\2HJV75FX\www.ideadata.org"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www.ideadata.org/"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www.ideadata.org/"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http://www.ideadata.org/"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sites.ed.gov/idea/files/1820-0624_FFY20Part_B_SPPAPR_Measurement_TableFINAL.pdf" TargetMode="External"/><Relationship Id="rId1" Type="http://schemas.openxmlformats.org/officeDocument/2006/relationships/hyperlink" Target="https://sites.ed.gov/idea/files/1820-0624_FFY20Part_B_SPPAPR_Measurement_TableFINAL.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wilkinson_r\AppData\Local\Box\Box%20Edit\Documents\sLHaVi4caUCKN0ffkJPe5A==\LEA%20Determinations%20V3.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502187226596672"/>
          <c:y val="3.55446666289016E-2"/>
          <c:w val="0.79438327351938154"/>
          <c:h val="0.86300553258180857"/>
        </c:manualLayout>
      </c:layout>
      <c:barChart>
        <c:barDir val="bar"/>
        <c:grouping val="clustered"/>
        <c:varyColors val="0"/>
        <c:ser>
          <c:idx val="0"/>
          <c:order val="0"/>
          <c:tx>
            <c:strRef>
              <c:f>'Chart for White Paper'!$B$1</c:f>
              <c:strCache>
                <c:ptCount val="1"/>
                <c:pt idx="0">
                  <c:v>Count of States</c:v>
                </c:pt>
              </c:strCache>
            </c:strRef>
          </c:tx>
          <c:spPr>
            <a:solidFill>
              <a:srgbClr val="01579B"/>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for White Paper'!$A$2:$A$27</c:f>
              <c:strCache>
                <c:ptCount val="22"/>
                <c:pt idx="0">
                  <c:v>Indicator 16</c:v>
                </c:pt>
                <c:pt idx="1">
                  <c:v>Indicator 15</c:v>
                </c:pt>
                <c:pt idx="2">
                  <c:v>Indicator 14C</c:v>
                </c:pt>
                <c:pt idx="3">
                  <c:v>Indicator 14B</c:v>
                </c:pt>
                <c:pt idx="4">
                  <c:v>Indicator 14A</c:v>
                </c:pt>
                <c:pt idx="5">
                  <c:v>Indicator 8</c:v>
                </c:pt>
                <c:pt idx="6">
                  <c:v>Indicator 7C, S2</c:v>
                </c:pt>
                <c:pt idx="7">
                  <c:v>Indicator 7C, S1</c:v>
                </c:pt>
                <c:pt idx="8">
                  <c:v>Indicator 7B, S2</c:v>
                </c:pt>
                <c:pt idx="9">
                  <c:v>Indicator 7B, S1</c:v>
                </c:pt>
                <c:pt idx="10">
                  <c:v>Indicator 7C, S2</c:v>
                </c:pt>
                <c:pt idx="11">
                  <c:v>Indicator 7C, S1</c:v>
                </c:pt>
                <c:pt idx="12">
                  <c:v>Indicator 6B</c:v>
                </c:pt>
                <c:pt idx="13">
                  <c:v>Indicator 6A</c:v>
                </c:pt>
                <c:pt idx="14">
                  <c:v>Indicator 5C</c:v>
                </c:pt>
                <c:pt idx="15">
                  <c:v>Indicator 5B</c:v>
                </c:pt>
                <c:pt idx="16">
                  <c:v>Indicator 5A</c:v>
                </c:pt>
                <c:pt idx="17">
                  <c:v>Indicator 4A</c:v>
                </c:pt>
                <c:pt idx="18">
                  <c:v>Indicator 3C</c:v>
                </c:pt>
                <c:pt idx="19">
                  <c:v>Indicator 3B</c:v>
                </c:pt>
                <c:pt idx="20">
                  <c:v>Indicator 2</c:v>
                </c:pt>
                <c:pt idx="21">
                  <c:v>Indicator 1</c:v>
                </c:pt>
              </c:strCache>
              <c:extLst/>
            </c:strRef>
          </c:cat>
          <c:val>
            <c:numRef>
              <c:f>'Chart for White Paper'!$B$2:$B$27</c:f>
              <c:numCache>
                <c:formatCode>General</c:formatCode>
                <c:ptCount val="22"/>
                <c:pt idx="0">
                  <c:v>3</c:v>
                </c:pt>
                <c:pt idx="1">
                  <c:v>3</c:v>
                </c:pt>
                <c:pt idx="2">
                  <c:v>7</c:v>
                </c:pt>
                <c:pt idx="3">
                  <c:v>4</c:v>
                </c:pt>
                <c:pt idx="4">
                  <c:v>4</c:v>
                </c:pt>
                <c:pt idx="5">
                  <c:v>4</c:v>
                </c:pt>
                <c:pt idx="6">
                  <c:v>4</c:v>
                </c:pt>
                <c:pt idx="7">
                  <c:v>7</c:v>
                </c:pt>
                <c:pt idx="8">
                  <c:v>4</c:v>
                </c:pt>
                <c:pt idx="9">
                  <c:v>7</c:v>
                </c:pt>
                <c:pt idx="10">
                  <c:v>4</c:v>
                </c:pt>
                <c:pt idx="11">
                  <c:v>7</c:v>
                </c:pt>
                <c:pt idx="12">
                  <c:v>1</c:v>
                </c:pt>
                <c:pt idx="13">
                  <c:v>5</c:v>
                </c:pt>
                <c:pt idx="14">
                  <c:v>3</c:v>
                </c:pt>
                <c:pt idx="15">
                  <c:v>4</c:v>
                </c:pt>
                <c:pt idx="16">
                  <c:v>7</c:v>
                </c:pt>
                <c:pt idx="17">
                  <c:v>4</c:v>
                </c:pt>
                <c:pt idx="18">
                  <c:v>10</c:v>
                </c:pt>
                <c:pt idx="19">
                  <c:v>8</c:v>
                </c:pt>
                <c:pt idx="20">
                  <c:v>9</c:v>
                </c:pt>
                <c:pt idx="21">
                  <c:v>12</c:v>
                </c:pt>
              </c:numCache>
              <c:extLst/>
            </c:numRef>
          </c:val>
          <c:extLst>
            <c:ext xmlns:c16="http://schemas.microsoft.com/office/drawing/2014/chart" uri="{C3380CC4-5D6E-409C-BE32-E72D297353CC}">
              <c16:uniqueId val="{00000000-04DA-46BF-856A-290F0B52C4F9}"/>
            </c:ext>
          </c:extLst>
        </c:ser>
        <c:dLbls>
          <c:showLegendKey val="0"/>
          <c:showVal val="0"/>
          <c:showCatName val="0"/>
          <c:showSerName val="0"/>
          <c:showPercent val="0"/>
          <c:showBubbleSize val="0"/>
        </c:dLbls>
        <c:gapWidth val="52"/>
        <c:axId val="60673120"/>
        <c:axId val="60672288"/>
      </c:barChart>
      <c:catAx>
        <c:axId val="6067312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60672288"/>
        <c:crosses val="autoZero"/>
        <c:auto val="1"/>
        <c:lblAlgn val="l"/>
        <c:lblOffset val="100"/>
        <c:noMultiLvlLbl val="0"/>
      </c:catAx>
      <c:valAx>
        <c:axId val="60672288"/>
        <c:scaling>
          <c:orientation val="minMax"/>
          <c:max val="15"/>
          <c:min val="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b="1">
                    <a:solidFill>
                      <a:schemeClr val="tx1"/>
                    </a:solidFill>
                  </a:rPr>
                  <a:t>Number of states</a:t>
                </a:r>
              </a:p>
            </c:rich>
          </c:tx>
          <c:layout>
            <c:manualLayout>
              <c:xMode val="edge"/>
              <c:yMode val="edge"/>
              <c:x val="0.50714711797388956"/>
              <c:y val="0.95367397420646138"/>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60673120"/>
        <c:crosses val="autoZero"/>
        <c:crossBetween val="between"/>
        <c:majorUnit val="1"/>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chemeClr val="tx1"/>
          </a:solidFill>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579244902079546"/>
          <c:y val="7.3215535166990239E-2"/>
          <c:w val="0.5933002819092057"/>
          <c:h val="0.86770166229221335"/>
        </c:manualLayout>
      </c:layout>
      <c:pieChart>
        <c:varyColors val="1"/>
        <c:ser>
          <c:idx val="0"/>
          <c:order val="0"/>
          <c:tx>
            <c:strRef>
              <c:f>Sheet1!$B$1</c:f>
              <c:strCache>
                <c:ptCount val="1"/>
                <c:pt idx="0">
                  <c:v>States</c:v>
                </c:pt>
              </c:strCache>
            </c:strRef>
          </c:tx>
          <c:spPr>
            <a:solidFill>
              <a:srgbClr val="4F83CC"/>
            </a:solidFill>
          </c:spPr>
          <c:explosion val="3"/>
          <c:dPt>
            <c:idx val="0"/>
            <c:bubble3D val="0"/>
            <c:explosion val="0"/>
            <c:spPr>
              <a:solidFill>
                <a:srgbClr val="01579B"/>
              </a:solidFill>
              <a:ln w="19050">
                <a:noFill/>
              </a:ln>
              <a:effectLst/>
            </c:spPr>
            <c:extLst>
              <c:ext xmlns:c16="http://schemas.microsoft.com/office/drawing/2014/chart" uri="{C3380CC4-5D6E-409C-BE32-E72D297353CC}">
                <c16:uniqueId val="{00000001-F1A2-4FF6-89DF-6E5F6686373D}"/>
              </c:ext>
            </c:extLst>
          </c:dPt>
          <c:dPt>
            <c:idx val="1"/>
            <c:bubble3D val="0"/>
            <c:explosion val="0"/>
            <c:spPr>
              <a:solidFill>
                <a:srgbClr val="2D837B"/>
              </a:solidFill>
              <a:ln w="19050">
                <a:noFill/>
              </a:ln>
              <a:effectLst/>
            </c:spPr>
            <c:extLst>
              <c:ext xmlns:c16="http://schemas.microsoft.com/office/drawing/2014/chart" uri="{C3380CC4-5D6E-409C-BE32-E72D297353CC}">
                <c16:uniqueId val="{00000003-F1A2-4FF6-89DF-6E5F6686373D}"/>
              </c:ext>
            </c:extLst>
          </c:dPt>
          <c:dPt>
            <c:idx val="2"/>
            <c:bubble3D val="0"/>
            <c:explosion val="0"/>
            <c:spPr>
              <a:solidFill>
                <a:srgbClr val="4F83CC"/>
              </a:solidFill>
              <a:ln w="19050">
                <a:noFill/>
              </a:ln>
              <a:effectLst/>
            </c:spPr>
            <c:extLst>
              <c:ext xmlns:c16="http://schemas.microsoft.com/office/drawing/2014/chart" uri="{C3380CC4-5D6E-409C-BE32-E72D297353CC}">
                <c16:uniqueId val="{00000005-F1A2-4FF6-89DF-6E5F6686373D}"/>
              </c:ext>
            </c:extLst>
          </c:dPt>
          <c:dLbls>
            <c:dLbl>
              <c:idx val="0"/>
              <c:layout>
                <c:manualLayout>
                  <c:x val="-4.7881254488867609E-3"/>
                  <c:y val="-0.13767209011264087"/>
                </c:manualLayout>
              </c:layout>
              <c:tx>
                <c:rich>
                  <a:bodyPr rot="0" spcFirstLastPara="1" vertOverflow="ellipsis" vert="horz" wrap="square" lIns="38100" tIns="19050" rIns="38100" bIns="19050" anchor="ctr" anchorCtr="0">
                    <a:spAutoFit/>
                  </a:bodyPr>
                  <a:lstStyle/>
                  <a:p>
                    <a:pPr algn="r">
                      <a:defRPr sz="1100" b="1" i="0" u="none" strike="noStrike" kern="1200" baseline="0">
                        <a:solidFill>
                          <a:srgbClr val="01579B"/>
                        </a:solidFill>
                        <a:latin typeface="+mn-lt"/>
                        <a:ea typeface="+mn-ea"/>
                        <a:cs typeface="+mn-cs"/>
                      </a:defRPr>
                    </a:pPr>
                    <a:fld id="{D5CF5791-3054-4AB6-8906-4E0EE5BF30DB}" type="CATEGORYNAME">
                      <a:rPr lang="en-US">
                        <a:solidFill>
                          <a:srgbClr val="01579B"/>
                        </a:solidFill>
                      </a:rPr>
                      <a:pPr algn="r">
                        <a:defRPr sz="1100" b="1">
                          <a:solidFill>
                            <a:srgbClr val="01579B"/>
                          </a:solidFill>
                        </a:defRPr>
                      </a:pPr>
                      <a:t>[CATEGORY NAME]</a:t>
                    </a:fld>
                    <a:r>
                      <a:rPr lang="en-US">
                        <a:solidFill>
                          <a:srgbClr val="01579B"/>
                        </a:solidFill>
                      </a:rPr>
                      <a:t> (</a:t>
                    </a:r>
                    <a:fld id="{CBBE5BA6-F8A9-4CDD-BC46-E39084A9FD6F}" type="VALUE">
                      <a:rPr lang="en-US" baseline="0">
                        <a:solidFill>
                          <a:srgbClr val="01579B"/>
                        </a:solidFill>
                      </a:rPr>
                      <a:pPr algn="r">
                        <a:defRPr sz="1100" b="1">
                          <a:solidFill>
                            <a:srgbClr val="01579B"/>
                          </a:solidFill>
                        </a:defRPr>
                      </a:pPr>
                      <a:t>[VALUE]</a:t>
                    </a:fld>
                    <a:r>
                      <a:rPr lang="en-US" baseline="0">
                        <a:solidFill>
                          <a:srgbClr val="01579B"/>
                        </a:solidFill>
                      </a:rPr>
                      <a:t>)</a:t>
                    </a:r>
                  </a:p>
                </c:rich>
              </c:tx>
              <c:numFmt formatCode="0.0%" sourceLinked="0"/>
              <c:spPr>
                <a:noFill/>
                <a:ln>
                  <a:noFill/>
                </a:ln>
                <a:effectLst/>
              </c:spPr>
              <c:txPr>
                <a:bodyPr rot="0" spcFirstLastPara="1" vertOverflow="ellipsis" vert="horz" wrap="square" lIns="38100" tIns="19050" rIns="38100" bIns="19050" anchor="ctr" anchorCtr="0">
                  <a:spAutoFit/>
                </a:bodyPr>
                <a:lstStyle/>
                <a:p>
                  <a:pPr algn="r">
                    <a:defRPr sz="1100" b="1" i="0" u="none" strike="noStrike" kern="1200" baseline="0">
                      <a:solidFill>
                        <a:srgbClr val="01579B"/>
                      </a:solidFill>
                      <a:latin typeface="+mn-lt"/>
                      <a:ea typeface="+mn-ea"/>
                      <a:cs typeface="+mn-cs"/>
                    </a:defRPr>
                  </a:pPr>
                  <a:endParaRPr lang="en-US"/>
                </a:p>
              </c:txPr>
              <c:dLblPos val="bestFit"/>
              <c:showLegendKey val="0"/>
              <c:showVal val="1"/>
              <c:showCatName val="1"/>
              <c:showSerName val="0"/>
              <c:showPercent val="0"/>
              <c:showBubbleSize val="0"/>
              <c:extLst>
                <c:ext xmlns:c15="http://schemas.microsoft.com/office/drawing/2012/chart" uri="{CE6537A1-D6FC-4f65-9D91-7224C49458BB}">
                  <c15:layout>
                    <c:manualLayout>
                      <c:w val="0.3077328225999521"/>
                      <c:h val="0.18685857321652066"/>
                    </c:manualLayout>
                  </c15:layout>
                  <c15:dlblFieldTable/>
                  <c15:showDataLabelsRange val="0"/>
                </c:ext>
                <c:ext xmlns:c16="http://schemas.microsoft.com/office/drawing/2014/chart" uri="{C3380CC4-5D6E-409C-BE32-E72D297353CC}">
                  <c16:uniqueId val="{00000001-F1A2-4FF6-89DF-6E5F6686373D}"/>
                </c:ext>
              </c:extLst>
            </c:dLbl>
            <c:dLbl>
              <c:idx val="1"/>
              <c:layout>
                <c:manualLayout>
                  <c:x val="2.4388618588106221E-2"/>
                  <c:y val="7.5093867334167716E-2"/>
                </c:manualLayout>
              </c:layout>
              <c:tx>
                <c:rich>
                  <a:bodyPr rot="0" spcFirstLastPara="1" vertOverflow="ellipsis" vert="horz" wrap="square" lIns="38100" tIns="19050" rIns="38100" bIns="19050" anchor="ctr" anchorCtr="0">
                    <a:spAutoFit/>
                  </a:bodyPr>
                  <a:lstStyle/>
                  <a:p>
                    <a:pPr algn="l">
                      <a:defRPr sz="1100" b="1" i="0" u="none" strike="noStrike" kern="1200" baseline="0">
                        <a:solidFill>
                          <a:srgbClr val="01579B"/>
                        </a:solidFill>
                        <a:latin typeface="+mn-lt"/>
                        <a:ea typeface="+mn-ea"/>
                        <a:cs typeface="+mn-cs"/>
                      </a:defRPr>
                    </a:pPr>
                    <a:fld id="{E6203119-6C38-42F2-B9E7-476088CDEF51}" type="CATEGORYNAME">
                      <a:rPr lang="en-US">
                        <a:solidFill>
                          <a:srgbClr val="01579B"/>
                        </a:solidFill>
                      </a:rPr>
                      <a:pPr algn="l">
                        <a:defRPr sz="1100" b="1">
                          <a:solidFill>
                            <a:srgbClr val="01579B"/>
                          </a:solidFill>
                        </a:defRPr>
                      </a:pPr>
                      <a:t>[CATEGORY NAME]</a:t>
                    </a:fld>
                    <a:r>
                      <a:rPr lang="en-US">
                        <a:solidFill>
                          <a:srgbClr val="01579B"/>
                        </a:solidFill>
                      </a:rPr>
                      <a:t> (</a:t>
                    </a:r>
                    <a:fld id="{30C6C7A5-6681-4AD8-9BF3-BD7349B213E3}" type="VALUE">
                      <a:rPr lang="en-US" baseline="0">
                        <a:solidFill>
                          <a:srgbClr val="01579B"/>
                        </a:solidFill>
                      </a:rPr>
                      <a:pPr algn="l">
                        <a:defRPr sz="1100" b="1">
                          <a:solidFill>
                            <a:srgbClr val="01579B"/>
                          </a:solidFill>
                        </a:defRPr>
                      </a:pPr>
                      <a:t>[VALUE]</a:t>
                    </a:fld>
                    <a:r>
                      <a:rPr lang="en-US" baseline="0">
                        <a:solidFill>
                          <a:srgbClr val="01579B"/>
                        </a:solidFill>
                      </a:rPr>
                      <a:t>)</a:t>
                    </a:r>
                  </a:p>
                </c:rich>
              </c:tx>
              <c:numFmt formatCode="0.0%" sourceLinked="0"/>
              <c:spPr>
                <a:noFill/>
                <a:ln>
                  <a:noFill/>
                </a:ln>
                <a:effectLst/>
              </c:spPr>
              <c:txPr>
                <a:bodyPr rot="0" spcFirstLastPara="1" vertOverflow="ellipsis" vert="horz" wrap="square" lIns="38100" tIns="19050" rIns="38100" bIns="19050" anchor="ctr" anchorCtr="0">
                  <a:spAutoFit/>
                </a:bodyPr>
                <a:lstStyle/>
                <a:p>
                  <a:pPr algn="l">
                    <a:defRPr sz="1100" b="1" i="0" u="none" strike="noStrike" kern="1200" baseline="0">
                      <a:solidFill>
                        <a:srgbClr val="01579B"/>
                      </a:solidFill>
                      <a:latin typeface="+mn-lt"/>
                      <a:ea typeface="+mn-ea"/>
                      <a:cs typeface="+mn-cs"/>
                    </a:defRPr>
                  </a:pPr>
                  <a:endParaRPr lang="en-US"/>
                </a:p>
              </c:txPr>
              <c:dLblPos val="bestFit"/>
              <c:showLegendKey val="0"/>
              <c:showVal val="1"/>
              <c:showCatName val="1"/>
              <c:showSerName val="0"/>
              <c:showPercent val="0"/>
              <c:showBubbleSize val="0"/>
              <c:extLst>
                <c:ext xmlns:c15="http://schemas.microsoft.com/office/drawing/2012/chart" uri="{CE6537A1-D6FC-4f65-9D91-7224C49458BB}">
                  <c15:layout>
                    <c:manualLayout>
                      <c:w val="0.33635412523398661"/>
                      <c:h val="0.18685857321652066"/>
                    </c:manualLayout>
                  </c15:layout>
                  <c15:dlblFieldTable/>
                  <c15:showDataLabelsRange val="0"/>
                </c:ext>
                <c:ext xmlns:c16="http://schemas.microsoft.com/office/drawing/2014/chart" uri="{C3380CC4-5D6E-409C-BE32-E72D297353CC}">
                  <c16:uniqueId val="{00000003-F1A2-4FF6-89DF-6E5F6686373D}"/>
                </c:ext>
              </c:extLst>
            </c:dLbl>
            <c:dLbl>
              <c:idx val="2"/>
              <c:layout>
                <c:manualLayout>
                  <c:x val="-5.1462923131735661E-4"/>
                  <c:y val="-1.8773466833541929E-2"/>
                </c:manualLayout>
              </c:layout>
              <c:tx>
                <c:rich>
                  <a:bodyPr rot="0" spcFirstLastPara="1" vertOverflow="ellipsis" vert="horz" wrap="square" lIns="38100" tIns="19050" rIns="38100" bIns="19050" anchor="ctr" anchorCtr="0">
                    <a:spAutoFit/>
                  </a:bodyPr>
                  <a:lstStyle/>
                  <a:p>
                    <a:pPr algn="l">
                      <a:defRPr sz="1100" b="1" i="0" u="none" strike="noStrike" kern="1200" baseline="0">
                        <a:solidFill>
                          <a:srgbClr val="01579B"/>
                        </a:solidFill>
                        <a:latin typeface="+mn-lt"/>
                        <a:ea typeface="+mn-ea"/>
                        <a:cs typeface="+mn-cs"/>
                      </a:defRPr>
                    </a:pPr>
                    <a:fld id="{3CC0D13E-A823-4B5D-9843-BBF5B62D2C9D}" type="CATEGORYNAME">
                      <a:rPr lang="en-US">
                        <a:solidFill>
                          <a:srgbClr val="01579B"/>
                        </a:solidFill>
                      </a:rPr>
                      <a:pPr algn="l">
                        <a:defRPr sz="1100" b="1">
                          <a:solidFill>
                            <a:srgbClr val="01579B"/>
                          </a:solidFill>
                        </a:defRPr>
                      </a:pPr>
                      <a:t>[CATEGORY NAME]</a:t>
                    </a:fld>
                    <a:r>
                      <a:rPr lang="en-US">
                        <a:solidFill>
                          <a:srgbClr val="01579B"/>
                        </a:solidFill>
                      </a:rPr>
                      <a:t> (</a:t>
                    </a:r>
                    <a:fld id="{8A40867A-52F1-48A0-9542-5D9503787AAD}" type="VALUE">
                      <a:rPr lang="en-US" baseline="0">
                        <a:solidFill>
                          <a:srgbClr val="01579B"/>
                        </a:solidFill>
                      </a:rPr>
                      <a:pPr algn="l">
                        <a:defRPr sz="1100" b="1">
                          <a:solidFill>
                            <a:srgbClr val="01579B"/>
                          </a:solidFill>
                        </a:defRPr>
                      </a:pPr>
                      <a:t>[VALUE]</a:t>
                    </a:fld>
                    <a:r>
                      <a:rPr lang="en-US" baseline="0">
                        <a:solidFill>
                          <a:srgbClr val="01579B"/>
                        </a:solidFill>
                      </a:rPr>
                      <a:t>)</a:t>
                    </a:r>
                  </a:p>
                </c:rich>
              </c:tx>
              <c:numFmt formatCode="0.0%" sourceLinked="0"/>
              <c:spPr>
                <a:noFill/>
                <a:ln>
                  <a:noFill/>
                </a:ln>
                <a:effectLst/>
              </c:spPr>
              <c:txPr>
                <a:bodyPr rot="0" spcFirstLastPara="1" vertOverflow="ellipsis" vert="horz" wrap="square" lIns="38100" tIns="19050" rIns="38100" bIns="19050" anchor="ctr" anchorCtr="0">
                  <a:spAutoFit/>
                </a:bodyPr>
                <a:lstStyle/>
                <a:p>
                  <a:pPr algn="l">
                    <a:defRPr sz="1100" b="1" i="0" u="none" strike="noStrike" kern="1200" baseline="0">
                      <a:solidFill>
                        <a:srgbClr val="01579B"/>
                      </a:solidFill>
                      <a:latin typeface="+mn-lt"/>
                      <a:ea typeface="+mn-ea"/>
                      <a:cs typeface="+mn-cs"/>
                    </a:defRPr>
                  </a:pPr>
                  <a:endParaRPr lang="en-US"/>
                </a:p>
              </c:txPr>
              <c:dLblPos val="bestFit"/>
              <c:showLegendKey val="0"/>
              <c:showVal val="1"/>
              <c:showCatName val="1"/>
              <c:showSerName val="0"/>
              <c:showPercent val="0"/>
              <c:showBubbleSize val="0"/>
              <c:extLst>
                <c:ext xmlns:c15="http://schemas.microsoft.com/office/drawing/2012/chart" uri="{CE6537A1-D6FC-4f65-9D91-7224C49458BB}">
                  <c15:layout>
                    <c:manualLayout>
                      <c:w val="0.24952128170954929"/>
                      <c:h val="0.18685857321652066"/>
                    </c:manualLayout>
                  </c15:layout>
                  <c15:dlblFieldTable/>
                  <c15:showDataLabelsRange val="0"/>
                </c:ext>
                <c:ext xmlns:c16="http://schemas.microsoft.com/office/drawing/2014/chart" uri="{C3380CC4-5D6E-409C-BE32-E72D297353CC}">
                  <c16:uniqueId val="{00000005-F1A2-4FF6-89DF-6E5F6686373D}"/>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rgbClr val="356DA2"/>
                    </a:solidFill>
                    <a:latin typeface="+mn-lt"/>
                    <a:ea typeface="+mn-ea"/>
                    <a:cs typeface="+mn-cs"/>
                  </a:defRPr>
                </a:pPr>
                <a:endParaRPr lang="en-US"/>
              </a:p>
            </c:txPr>
            <c:dLblPos val="outEnd"/>
            <c:showLegendKey val="0"/>
            <c:showVal val="1"/>
            <c:showCatName val="1"/>
            <c:showSerName val="0"/>
            <c:showPercent val="0"/>
            <c:showBubbleSize val="0"/>
            <c:showLeaderLines val="0"/>
            <c:extLst>
              <c:ext xmlns:c15="http://schemas.microsoft.com/office/drawing/2012/chart" uri="{CE6537A1-D6FC-4f65-9D91-7224C49458BB}"/>
            </c:extLst>
          </c:dLbls>
          <c:cat>
            <c:strRef>
              <c:f>Sheet1!$A$2:$A$4</c:f>
              <c:strCache>
                <c:ptCount val="3"/>
                <c:pt idx="0">
                  <c:v>Points assigned</c:v>
                </c:pt>
                <c:pt idx="1">
                  <c:v>No points assigned</c:v>
                </c:pt>
                <c:pt idx="2">
                  <c:v>Not specified</c:v>
                </c:pt>
              </c:strCache>
            </c:strRef>
          </c:cat>
          <c:val>
            <c:numRef>
              <c:f>Sheet1!$B$2:$B$4</c:f>
              <c:numCache>
                <c:formatCode>0.00%</c:formatCode>
                <c:ptCount val="3"/>
                <c:pt idx="0">
                  <c:v>0.60709999999999997</c:v>
                </c:pt>
                <c:pt idx="1">
                  <c:v>0.28570000000000001</c:v>
                </c:pt>
                <c:pt idx="2">
                  <c:v>0.1071</c:v>
                </c:pt>
              </c:numCache>
            </c:numRef>
          </c:val>
          <c:extLst>
            <c:ext xmlns:c16="http://schemas.microsoft.com/office/drawing/2014/chart" uri="{C3380CC4-5D6E-409C-BE32-E72D297353CC}">
              <c16:uniqueId val="{00000006-F1A2-4FF6-89DF-6E5F6686373D}"/>
            </c:ext>
          </c:extLst>
        </c:ser>
        <c:dLbls>
          <c:showLegendKey val="0"/>
          <c:showVal val="0"/>
          <c:showCatName val="0"/>
          <c:showSerName val="0"/>
          <c:showPercent val="0"/>
          <c:showBubbleSize val="0"/>
          <c:showLeaderLines val="0"/>
        </c:dLbls>
        <c:firstSliceAng val="142"/>
      </c:pieChart>
      <c:spPr>
        <a:noFill/>
        <a:ln>
          <a:noFill/>
        </a:ln>
        <a:effectLst/>
      </c:spPr>
    </c:plotArea>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615855710343899"/>
          <c:y val="0.11826544992263952"/>
          <c:w val="0.57624671916010506"/>
          <c:h val="0.84381559626698743"/>
        </c:manualLayout>
      </c:layout>
      <c:pieChart>
        <c:varyColors val="1"/>
        <c:ser>
          <c:idx val="0"/>
          <c:order val="0"/>
          <c:tx>
            <c:strRef>
              <c:f>Sheet1!$B$1</c:f>
              <c:strCache>
                <c:ptCount val="1"/>
                <c:pt idx="0">
                  <c:v>States</c:v>
                </c:pt>
              </c:strCache>
            </c:strRef>
          </c:tx>
          <c:dPt>
            <c:idx val="0"/>
            <c:bubble3D val="0"/>
            <c:spPr>
              <a:solidFill>
                <a:srgbClr val="01579B"/>
              </a:solidFill>
              <a:ln w="19050">
                <a:noFill/>
              </a:ln>
              <a:effectLst/>
            </c:spPr>
            <c:extLst>
              <c:ext xmlns:c16="http://schemas.microsoft.com/office/drawing/2014/chart" uri="{C3380CC4-5D6E-409C-BE32-E72D297353CC}">
                <c16:uniqueId val="{00000001-5BEF-4D69-A00F-F19AC8035479}"/>
              </c:ext>
            </c:extLst>
          </c:dPt>
          <c:dPt>
            <c:idx val="1"/>
            <c:bubble3D val="0"/>
            <c:spPr>
              <a:solidFill>
                <a:srgbClr val="2D837B"/>
              </a:solidFill>
              <a:ln w="19050">
                <a:noFill/>
              </a:ln>
              <a:effectLst/>
            </c:spPr>
            <c:extLst>
              <c:ext xmlns:c16="http://schemas.microsoft.com/office/drawing/2014/chart" uri="{C3380CC4-5D6E-409C-BE32-E72D297353CC}">
                <c16:uniqueId val="{00000003-5BEF-4D69-A00F-F19AC8035479}"/>
              </c:ext>
            </c:extLst>
          </c:dPt>
          <c:dPt>
            <c:idx val="2"/>
            <c:bubble3D val="0"/>
            <c:spPr>
              <a:solidFill>
                <a:srgbClr val="4F83CC"/>
              </a:solidFill>
              <a:ln w="19050">
                <a:noFill/>
              </a:ln>
              <a:effectLst/>
            </c:spPr>
            <c:extLst>
              <c:ext xmlns:c16="http://schemas.microsoft.com/office/drawing/2014/chart" uri="{C3380CC4-5D6E-409C-BE32-E72D297353CC}">
                <c16:uniqueId val="{00000005-5BEF-4D69-A00F-F19AC8035479}"/>
              </c:ext>
            </c:extLst>
          </c:dPt>
          <c:dLbls>
            <c:dLbl>
              <c:idx val="0"/>
              <c:layout>
                <c:manualLayout>
                  <c:x val="-1.2088088875383199E-2"/>
                  <c:y val="0.10638273235244841"/>
                </c:manualLayout>
              </c:layout>
              <c:tx>
                <c:rich>
                  <a:bodyPr rot="0" spcFirstLastPara="1" vertOverflow="ellipsis" vert="horz" wrap="square" lIns="0" tIns="0" rIns="0" bIns="0" anchor="ctr" anchorCtr="0">
                    <a:spAutoFit/>
                  </a:bodyPr>
                  <a:lstStyle/>
                  <a:p>
                    <a:pPr algn="r">
                      <a:defRPr sz="1050" b="1" i="0" u="none" strike="noStrike" kern="1200" baseline="0">
                        <a:solidFill>
                          <a:srgbClr val="01579B"/>
                        </a:solidFill>
                        <a:latin typeface="+mn-lt"/>
                        <a:ea typeface="+mn-ea"/>
                        <a:cs typeface="+mn-cs"/>
                      </a:defRPr>
                    </a:pPr>
                    <a:fld id="{EF737CB3-4C42-4544-A66B-9069EBCDD897}" type="CATEGORYNAME">
                      <a:rPr lang="en-US">
                        <a:solidFill>
                          <a:srgbClr val="01579B"/>
                        </a:solidFill>
                      </a:rPr>
                      <a:pPr algn="r">
                        <a:defRPr sz="1050" b="1" i="0" u="none" strike="noStrike" kern="1200" baseline="0">
                          <a:solidFill>
                            <a:srgbClr val="01579B"/>
                          </a:solidFill>
                          <a:latin typeface="+mn-lt"/>
                          <a:ea typeface="+mn-ea"/>
                          <a:cs typeface="+mn-cs"/>
                        </a:defRPr>
                      </a:pPr>
                      <a:t>[CATEGORY NAME]</a:t>
                    </a:fld>
                    <a:r>
                      <a:rPr lang="en-US" baseline="0">
                        <a:solidFill>
                          <a:srgbClr val="01579B"/>
                        </a:solidFill>
                      </a:rPr>
                      <a:t> (</a:t>
                    </a:r>
                    <a:fld id="{AC8E0FA1-90F9-4CA0-AAE2-087F8AD3729C}" type="VALUE">
                      <a:rPr lang="en-US" baseline="0">
                        <a:solidFill>
                          <a:srgbClr val="01579B"/>
                        </a:solidFill>
                      </a:rPr>
                      <a:pPr algn="r">
                        <a:defRPr sz="1050" b="1" i="0" u="none" strike="noStrike" kern="1200" baseline="0">
                          <a:solidFill>
                            <a:srgbClr val="01579B"/>
                          </a:solidFill>
                          <a:latin typeface="+mn-lt"/>
                          <a:ea typeface="+mn-ea"/>
                          <a:cs typeface="+mn-cs"/>
                        </a:defRPr>
                      </a:pPr>
                      <a:t>[VALUE]</a:t>
                    </a:fld>
                    <a:r>
                      <a:rPr lang="en-US" baseline="0">
                        <a:solidFill>
                          <a:srgbClr val="01579B"/>
                        </a:solidFill>
                      </a:rPr>
                      <a:t>)</a:t>
                    </a:r>
                  </a:p>
                </c:rich>
              </c:tx>
              <c:numFmt formatCode="0.0%" sourceLinked="0"/>
              <c:spPr>
                <a:noFill/>
                <a:ln>
                  <a:noFill/>
                </a:ln>
                <a:effectLst/>
              </c:spPr>
              <c:dLblPos val="bestFit"/>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rect">
                      <a:avLst/>
                    </a:prstGeom>
                  </c15:spPr>
                  <c15:layout>
                    <c:manualLayout>
                      <c:w val="0.28062098367102523"/>
                      <c:h val="0.162017482483025"/>
                    </c:manualLayout>
                  </c15:layout>
                  <c15:dlblFieldTable/>
                  <c15:showDataLabelsRange val="0"/>
                </c:ext>
                <c:ext xmlns:c16="http://schemas.microsoft.com/office/drawing/2014/chart" uri="{C3380CC4-5D6E-409C-BE32-E72D297353CC}">
                  <c16:uniqueId val="{00000001-5BEF-4D69-A00F-F19AC8035479}"/>
                </c:ext>
              </c:extLst>
            </c:dLbl>
            <c:dLbl>
              <c:idx val="1"/>
              <c:layout>
                <c:manualLayout>
                  <c:x val="1.3316024202990434E-2"/>
                  <c:y val="-0.17521927015068048"/>
                </c:manualLayout>
              </c:layout>
              <c:tx>
                <c:rich>
                  <a:bodyPr rot="0" spcFirstLastPara="1" vertOverflow="ellipsis" vert="horz" wrap="square" lIns="0" tIns="19050" rIns="0" bIns="19050" anchor="ctr" anchorCtr="0">
                    <a:spAutoFit/>
                  </a:bodyPr>
                  <a:lstStyle/>
                  <a:p>
                    <a:pPr algn="l">
                      <a:defRPr sz="1050" b="1" i="0" u="none" strike="noStrike" kern="1200" baseline="0">
                        <a:solidFill>
                          <a:srgbClr val="01579B"/>
                        </a:solidFill>
                        <a:latin typeface="+mn-lt"/>
                        <a:ea typeface="+mn-ea"/>
                        <a:cs typeface="+mn-cs"/>
                      </a:defRPr>
                    </a:pPr>
                    <a:fld id="{11682B71-0EE8-40D8-81F3-9238D00F22C6}" type="CATEGORYNAME">
                      <a:rPr lang="en-US">
                        <a:solidFill>
                          <a:srgbClr val="01579B"/>
                        </a:solidFill>
                      </a:rPr>
                      <a:pPr algn="l">
                        <a:defRPr sz="1050" b="1" i="0" u="none" strike="noStrike" kern="1200" baseline="0">
                          <a:solidFill>
                            <a:srgbClr val="01579B"/>
                          </a:solidFill>
                          <a:latin typeface="+mn-lt"/>
                          <a:ea typeface="+mn-ea"/>
                          <a:cs typeface="+mn-cs"/>
                        </a:defRPr>
                      </a:pPr>
                      <a:t>[CATEGORY NAME]</a:t>
                    </a:fld>
                    <a:r>
                      <a:rPr lang="en-US" baseline="0">
                        <a:solidFill>
                          <a:srgbClr val="01579B"/>
                        </a:solidFill>
                      </a:rPr>
                      <a:t> (</a:t>
                    </a:r>
                    <a:fld id="{6ABDC224-F846-46C7-9892-BF796CCDB04E}" type="VALUE">
                      <a:rPr lang="en-US" baseline="0">
                        <a:solidFill>
                          <a:srgbClr val="01579B"/>
                        </a:solidFill>
                      </a:rPr>
                      <a:pPr algn="l">
                        <a:defRPr sz="1050" b="1" i="0" u="none" strike="noStrike" kern="1200" baseline="0">
                          <a:solidFill>
                            <a:srgbClr val="01579B"/>
                          </a:solidFill>
                          <a:latin typeface="+mn-lt"/>
                          <a:ea typeface="+mn-ea"/>
                          <a:cs typeface="+mn-cs"/>
                        </a:defRPr>
                      </a:pPr>
                      <a:t>[VALUE]</a:t>
                    </a:fld>
                    <a:r>
                      <a:rPr lang="en-US" baseline="0">
                        <a:solidFill>
                          <a:srgbClr val="01579B"/>
                        </a:solidFill>
                      </a:rPr>
                      <a:t>)</a:t>
                    </a:r>
                  </a:p>
                </c:rich>
              </c:tx>
              <c:numFmt formatCode="0.0%" sourceLinked="0"/>
              <c:spPr>
                <a:noFill/>
                <a:ln>
                  <a:noFill/>
                </a:ln>
                <a:effectLst/>
              </c:spPr>
              <c:dLblPos val="bestFit"/>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rect">
                      <a:avLst/>
                    </a:prstGeom>
                  </c15:spPr>
                  <c15:layout>
                    <c:manualLayout>
                      <c:w val="0.33141419467855959"/>
                      <c:h val="0.18097424930769759"/>
                    </c:manualLayout>
                  </c15:layout>
                  <c15:dlblFieldTable/>
                  <c15:showDataLabelsRange val="0"/>
                </c:ext>
                <c:ext xmlns:c16="http://schemas.microsoft.com/office/drawing/2014/chart" uri="{C3380CC4-5D6E-409C-BE32-E72D297353CC}">
                  <c16:uniqueId val="{00000003-5BEF-4D69-A00F-F19AC8035479}"/>
                </c:ext>
              </c:extLst>
            </c:dLbl>
            <c:dLbl>
              <c:idx val="2"/>
              <c:tx>
                <c:rich>
                  <a:bodyPr rot="0" spcFirstLastPara="1" vertOverflow="ellipsis" vert="horz" wrap="square" lIns="0" tIns="19050" rIns="0" bIns="19050" anchor="ctr" anchorCtr="0">
                    <a:spAutoFit/>
                  </a:bodyPr>
                  <a:lstStyle/>
                  <a:p>
                    <a:pPr algn="r">
                      <a:defRPr sz="1050" b="1" i="0" u="none" strike="noStrike" kern="1200" baseline="0">
                        <a:solidFill>
                          <a:srgbClr val="01579B"/>
                        </a:solidFill>
                        <a:latin typeface="+mn-lt"/>
                        <a:ea typeface="+mn-ea"/>
                        <a:cs typeface="+mn-cs"/>
                      </a:defRPr>
                    </a:pPr>
                    <a:fld id="{9226843A-D6B8-4C55-9A30-D6E310DAD181}" type="CATEGORYNAME">
                      <a:rPr lang="en-US">
                        <a:solidFill>
                          <a:srgbClr val="01579B"/>
                        </a:solidFill>
                      </a:rPr>
                      <a:pPr algn="r">
                        <a:defRPr sz="1050" b="1" i="0" u="none" strike="noStrike" kern="1200" baseline="0">
                          <a:solidFill>
                            <a:srgbClr val="01579B"/>
                          </a:solidFill>
                          <a:latin typeface="+mn-lt"/>
                          <a:ea typeface="+mn-ea"/>
                          <a:cs typeface="+mn-cs"/>
                        </a:defRPr>
                      </a:pPr>
                      <a:t>[CATEGORY NAME]</a:t>
                    </a:fld>
                    <a:r>
                      <a:rPr lang="en-US" baseline="0">
                        <a:solidFill>
                          <a:srgbClr val="01579B"/>
                        </a:solidFill>
                      </a:rPr>
                      <a:t> (</a:t>
                    </a:r>
                    <a:fld id="{158F5929-233D-4663-9154-5B97874B39A7}" type="VALUE">
                      <a:rPr lang="en-US" baseline="0">
                        <a:solidFill>
                          <a:srgbClr val="01579B"/>
                        </a:solidFill>
                      </a:rPr>
                      <a:pPr algn="r">
                        <a:defRPr sz="1050" b="1" i="0" u="none" strike="noStrike" kern="1200" baseline="0">
                          <a:solidFill>
                            <a:srgbClr val="01579B"/>
                          </a:solidFill>
                          <a:latin typeface="+mn-lt"/>
                          <a:ea typeface="+mn-ea"/>
                          <a:cs typeface="+mn-cs"/>
                        </a:defRPr>
                      </a:pPr>
                      <a:t>[VALUE]</a:t>
                    </a:fld>
                    <a:r>
                      <a:rPr lang="en-US" baseline="0">
                        <a:solidFill>
                          <a:srgbClr val="01579B"/>
                        </a:solidFill>
                      </a:rPr>
                      <a:t>)</a:t>
                    </a:r>
                  </a:p>
                </c:rich>
              </c:tx>
              <c:numFmt formatCode="0.0%" sourceLinked="0"/>
              <c:spPr>
                <a:noFill/>
                <a:ln>
                  <a:noFill/>
                </a:ln>
                <a:effectLst/>
              </c:spPr>
              <c:dLblPos val="outEnd"/>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rect">
                      <a:avLst/>
                    </a:prstGeom>
                  </c15:spPr>
                  <c15:dlblFieldTable/>
                  <c15:showDataLabelsRange val="0"/>
                </c:ext>
                <c:ext xmlns:c16="http://schemas.microsoft.com/office/drawing/2014/chart" uri="{C3380CC4-5D6E-409C-BE32-E72D297353CC}">
                  <c16:uniqueId val="{00000005-5BEF-4D69-A00F-F19AC8035479}"/>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356DA2"/>
                    </a:solidFill>
                    <a:latin typeface="+mn-lt"/>
                    <a:ea typeface="+mn-ea"/>
                    <a:cs typeface="+mn-cs"/>
                  </a:defRPr>
                </a:pPr>
                <a:endParaRPr lang="en-US"/>
              </a:p>
            </c:txPr>
            <c:dLblPos val="outEnd"/>
            <c:showLegendKey val="0"/>
            <c:showVal val="1"/>
            <c:showCatName val="1"/>
            <c:showSerName val="0"/>
            <c:showPercent val="0"/>
            <c:showBubbleSize val="0"/>
            <c:showLeaderLines val="0"/>
            <c:extLst>
              <c:ext xmlns:c15="http://schemas.microsoft.com/office/drawing/2012/chart" uri="{CE6537A1-D6FC-4f65-9D91-7224C49458BB}"/>
            </c:extLst>
          </c:dLbls>
          <c:cat>
            <c:strRef>
              <c:f>Sheet1!$A$2:$A$4</c:f>
              <c:strCache>
                <c:ptCount val="3"/>
                <c:pt idx="0">
                  <c:v>Weighting used</c:v>
                </c:pt>
                <c:pt idx="1">
                  <c:v>No weighting used</c:v>
                </c:pt>
                <c:pt idx="2">
                  <c:v>Not specified</c:v>
                </c:pt>
              </c:strCache>
            </c:strRef>
          </c:cat>
          <c:val>
            <c:numRef>
              <c:f>Sheet1!$B$2:$B$4</c:f>
              <c:numCache>
                <c:formatCode>0.00%</c:formatCode>
                <c:ptCount val="3"/>
                <c:pt idx="0">
                  <c:v>0.25</c:v>
                </c:pt>
                <c:pt idx="1">
                  <c:v>0.64290000000000003</c:v>
                </c:pt>
                <c:pt idx="2">
                  <c:v>0.1071</c:v>
                </c:pt>
              </c:numCache>
            </c:numRef>
          </c:val>
          <c:extLst>
            <c:ext xmlns:c16="http://schemas.microsoft.com/office/drawing/2014/chart" uri="{C3380CC4-5D6E-409C-BE32-E72D297353CC}">
              <c16:uniqueId val="{00000006-5BEF-4D69-A00F-F19AC8035479}"/>
            </c:ext>
          </c:extLst>
        </c:ser>
        <c:dLbls>
          <c:dLblPos val="bestFit"/>
          <c:showLegendKey val="0"/>
          <c:showVal val="1"/>
          <c:showCatName val="0"/>
          <c:showSerName val="0"/>
          <c:showPercent val="0"/>
          <c:showBubbleSize val="0"/>
          <c:showLeaderLines val="0"/>
        </c:dLbls>
        <c:firstSliceAng val="268"/>
      </c:pieChart>
      <c:spPr>
        <a:noFill/>
        <a:ln>
          <a:noFill/>
        </a:ln>
        <a:effectLst/>
      </c:spPr>
    </c:plotArea>
    <c:plotVisOnly val="1"/>
    <c:dispBlanksAs val="gap"/>
    <c:showDLblsOverMax val="0"/>
  </c:chart>
  <c:spPr>
    <a:noFill/>
    <a:ln w="9525" cap="flat" cmpd="sng" algn="ctr">
      <a:noFill/>
      <a:round/>
    </a:ln>
    <a:effectLst/>
  </c:spPr>
  <c:txPr>
    <a:bodyPr/>
    <a:lstStyle/>
    <a:p>
      <a:pPr>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07D14FA0D25464BB42EBA6EFB4CCBED" ma:contentTypeVersion="7" ma:contentTypeDescription="Create a new document." ma:contentTypeScope="" ma:versionID="8b6bbbdc28a57566b57df5b6b33f21f9">
  <xsd:schema xmlns:xsd="http://www.w3.org/2001/XMLSchema" xmlns:xs="http://www.w3.org/2001/XMLSchema" xmlns:p="http://schemas.microsoft.com/office/2006/metadata/properties" xmlns:ns3="be2d16b0-1700-451e-8725-5b36c9b47b39" xmlns:ns4="92f9b403-479b-4d8c-bbed-72f1b31a4416" targetNamespace="http://schemas.microsoft.com/office/2006/metadata/properties" ma:root="true" ma:fieldsID="bbcedee94cd3b267f5ae08c45acbc551" ns3:_="" ns4:_="">
    <xsd:import namespace="be2d16b0-1700-451e-8725-5b36c9b47b39"/>
    <xsd:import namespace="92f9b403-479b-4d8c-bbed-72f1b31a441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2d16b0-1700-451e-8725-5b36c9b47b3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f9b403-479b-4d8c-bbed-72f1b31a441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EA1210-1600-491D-A608-3933F219C9D9}">
  <ds:schemaRefs>
    <ds:schemaRef ds:uri="http://schemas.microsoft.com/sharepoint/v3/contenttype/forms"/>
  </ds:schemaRefs>
</ds:datastoreItem>
</file>

<file path=customXml/itemProps2.xml><?xml version="1.0" encoding="utf-8"?>
<ds:datastoreItem xmlns:ds="http://schemas.openxmlformats.org/officeDocument/2006/customXml" ds:itemID="{D3190E2D-99A4-4961-AF74-1A5922466412}">
  <ds:schemaRefs>
    <ds:schemaRef ds:uri="http://schemas.openxmlformats.org/officeDocument/2006/bibliography"/>
  </ds:schemaRefs>
</ds:datastoreItem>
</file>

<file path=customXml/itemProps3.xml><?xml version="1.0" encoding="utf-8"?>
<ds:datastoreItem xmlns:ds="http://schemas.openxmlformats.org/officeDocument/2006/customXml" ds:itemID="{59C91EDF-8F63-487D-89E9-56BAFAE9AE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2d16b0-1700-451e-8725-5b36c9b47b39"/>
    <ds:schemaRef ds:uri="92f9b403-479b-4d8c-bbed-72f1b31a44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0716BA-5BA6-444A-9449-9D2B3285670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14</Pages>
  <Words>3237</Words>
  <Characters>18451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State Determinations of Local Education Agency (LEA) Performance</vt:lpstr>
    </vt:vector>
  </TitlesOfParts>
  <Company/>
  <LinksUpToDate>false</LinksUpToDate>
  <CharactersWithSpaces>21645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Determinations of Local Education Agency (LEA) Performance</dc:title>
  <dc:subject/>
  <dc:creator>Rachel Wilkinson</dc:creator>
  <cp:keywords/>
  <dc:description/>
  <cp:lastModifiedBy>Sylvie Warren</cp:lastModifiedBy>
  <cp:revision>22</cp:revision>
  <cp:lastPrinted>2021-08-28T14:42:00Z</cp:lastPrinted>
  <dcterms:created xsi:type="dcterms:W3CDTF">2021-09-03T18:31:00Z</dcterms:created>
  <dcterms:modified xsi:type="dcterms:W3CDTF">2021-09-24T16:59:00Z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0x010100B07D14FA0D25464BB42EBA6EFB4CCBED</vt:lpwstr>
  </property>
</Properties>
</file>